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88R14413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Smith</w:t>
      </w:r>
      <w:r xml:space="preserve">
        <w:tab wTab="150" tlc="none" cTlc="0"/>
      </w:r>
      <w:r>
        <w:t xml:space="preserve">H.B.</w:t>
      </w:r>
      <w:r xml:space="preserve">
        <w:t> </w:t>
      </w:r>
      <w:r>
        <w:t xml:space="preserve">No.</w:t>
      </w:r>
      <w:r xml:space="preserve">
        <w:t> </w:t>
      </w:r>
      <w:r>
        <w:t xml:space="preserve">3958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establishment of a grant program to assist law enforcement agencies in collecting DNA samples from defendants arrested for certain felony offenses.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411, Government Code, is amended by adding Section 411.1472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411.1472.</w:t>
      </w:r>
      <w:r>
        <w:rPr>
          <w:u w:val="single"/>
        </w:rPr>
        <w:t xml:space="preserve"> </w:t>
      </w:r>
      <w:r>
        <w:rPr>
          <w:u w:val="single"/>
        </w:rPr>
        <w:t xml:space="preserve"> </w:t>
      </w:r>
      <w:r>
        <w:rPr>
          <w:u w:val="single"/>
        </w:rPr>
        <w:t xml:space="preserve">DNA SAMPLE COLLECTION GRANT PROGRAM.  (a)  From money appropriated or otherwise available for the purpose, the department shall establish and implement a grant program to assist law enforcement agencies in taking a DNA sample after arresting a defendant as required by Section 411.1471.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adopt rules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Department of Public Safety of the State of Texas shall establish the grant program required under Section 411.1472,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3958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