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88R13725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H.B.</w:t>
      </w:r>
      <w:r xml:space="preserve">
        <w:t> </w:t>
      </w:r>
      <w:r>
        <w:t xml:space="preserve">No.</w:t>
      </w:r>
      <w:r xml:space="preserve">
        <w:t> </w:t>
      </w:r>
      <w:r>
        <w:t xml:space="preserve">3963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of parking rules or policies for a multiunit complex by a third-party parking enforcement vendor.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92, Property Code, is amended by adding Section 92.0133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92.0133.</w:t>
      </w:r>
      <w:r>
        <w:rPr>
          <w:u w:val="single"/>
        </w:rPr>
        <w:t xml:space="preserve"> </w:t>
      </w:r>
      <w:r>
        <w:rPr>
          <w:u w:val="single"/>
        </w:rPr>
        <w:t xml:space="preserve"> </w:t>
      </w:r>
      <w:r>
        <w:rPr>
          <w:u w:val="single"/>
        </w:rPr>
        <w:t xml:space="preserve">THIRD-PARTY PARKING ENFORCEMENT PROHIBITED.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"Multiunit complex" has the meaning assigned by Section 92.151.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"Third-party parking enforcement vendor":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 a person who, for compensation: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issues a purported citation demanding payment of a fee by the operator of a vehicle parked in a parking area for an alleged violation of the parking rules or policies governing the parking area;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enforces or attempts to enforce the purported citation privately, including through referring an alleged delinquency in paying the purported citation to a collections agency for initiation of civil litigation;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a booting company or towing company operating in accordance with Chapter 2308, Occupations Code, and applicable local regulations.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landlord may not contract with a third-party parking enforcement vendor to enforce parking rules or policies in the parking area of a multiunit complex.</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92.0133, Property Code, as added by this Act, applies only to a contract entered into on or after the effective date of this Act.  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