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88R4094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3966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margin of error to be used by the comptroller of public accounts in connection with the property value study to determine whether the local value for a school district is valid.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403.302(c),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after conducting the study the comptroller determines that the local value for a school district is valid, the local value is presumed to represent taxable value for the school district.  In the absence of that presumption, taxable value for a school district is the state value for the school district determined by the comptroller under Subsections (a) and (b) unless the local value exceeds the state value, in which case the taxable value for the school district is the district's local value.  In determining whether the local value for a school district is valid, the comptroller shall use a margin of error that does not exceed </w:t>
      </w:r>
      <w:r>
        <w:rPr>
          <w:u w:val="single"/>
        </w:rPr>
        <w:t xml:space="preserve">10</w:t>
      </w:r>
      <w:r>
        <w:t xml:space="preserve"> [</w:t>
      </w:r>
      <w:r>
        <w:rPr>
          <w:strike/>
        </w:rPr>
        <w:t xml:space="preserve">five</w:t>
      </w:r>
      <w:r>
        <w:t xml:space="preserve">] percent unless the comptroller determines that the size of the sample of properties necessary to make the determination makes the use of such a margin of error not feasible, in which case the comptroller may use a larger margin of error.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study conducted under Section 403.302, Government Code, for a tax year that begins on or after January 1, 2024.  The study for a tax year that begins before that date is covered by the law in effect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