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88R4101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3968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an appraisal district to implement a schedule for the periodic reappraisal of property within an appraisal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25.18, Tax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plan may provide for the reappraisal of a different group of property in the district in each year of a three-year period, subject to the requirement of Subsection (b) that the reappraisal activities for real and personal property in the district prescribed by that subsection occur at least once every three years.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