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88R4102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exemption from ad valorem taxation of income-producing tangible personal property having a value of less than a certain amount.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11.145,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11.145.</w:t>
      </w:r>
      <w:r xml:space="preserve">
        <w:t> </w:t>
      </w:r>
      <w:r xml:space="preserve">
        <w:t> </w:t>
      </w:r>
      <w:r>
        <w:t xml:space="preserve">INCOME-PRODUCING TANGIBLE PERSONAL PROPERTY HAVING VALUE OF LESS THAN </w:t>
      </w:r>
      <w:r>
        <w:rPr>
          <w:u w:val="single"/>
        </w:rPr>
        <w:t xml:space="preserve">$40,000</w:t>
      </w:r>
      <w:r>
        <w:t xml:space="preserve"> [</w:t>
      </w:r>
      <w:r>
        <w:rPr>
          <w:strike/>
        </w:rPr>
        <w:t xml:space="preserve">$2,500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11.145(a),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is entitled to an exemption from taxation of the tangible personal property the person owns that is held or used for the production of income if that property has a taxable value of less than </w:t>
      </w:r>
      <w:r>
        <w:rPr>
          <w:u w:val="single"/>
        </w:rPr>
        <w:t xml:space="preserve">$40,000</w:t>
      </w:r>
      <w:r>
        <w:t xml:space="preserve"> [</w:t>
      </w:r>
      <w:r>
        <w:rPr>
          <w:strike/>
        </w:rPr>
        <w:t xml:space="preserve">$2,500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tax year beginning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