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88R23033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3977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3977: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employer's civil liability under the Texas Workers' Compensation Act for injuries sustained by a victim of sexual assault.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408, Labor Code, is amended by adding Section 408.0011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408.0011.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 FOR INJURIES SUSTAINED BY VICTIM OF SEXUAL ASSAULT.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408.001, an employee who is the victim of sexual assault may bring a cause of action against the employer if the employee's injuries arose from the employer's gross negligence.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"sexual assault" means conduct described by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