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88R14317 KKR-D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Neave Criado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3977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an employer's civil liability under the Texas Workers' Compensation Act for injuries sustained by a victim of sexual assault.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408, Labor Code, is amended by adding Section 408.0011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408.0011.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ACTION FOR INJURIES SUSTAINED BY VICTIM OF SEXUAL ASSAULT.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Notwithstanding Section 408.001, an employee who is the victim of sexual assault may bring a cause of action against the employer if the employee's injuries arose from the employer's negligence.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"sexual assault" means conduct described by Section 22.011 or 22.021,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change in law made by this Act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3977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