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policy on the preclusion of private design professionals from contracting with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2261, Government Code, is amended by adding Section 2261.260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2261.260.</w:t>
      </w:r>
      <w:r>
        <w:rPr>
          <w:u w:val="single"/>
        </w:rPr>
        <w:t xml:space="preserve"> </w:t>
      </w:r>
      <w:r>
        <w:rPr>
          <w:u w:val="single"/>
        </w:rPr>
        <w:t xml:space="preserve"> </w:t>
      </w:r>
      <w:r>
        <w:rPr>
          <w:u w:val="single"/>
        </w:rPr>
        <w:t xml:space="preserve">TEXAS DEPARTMENT OF TRANSPORTATION PRECLUSION POLICY FOR PRIVATE DESIGN PROFESSIONALS.  (a) </w:t>
      </w:r>
      <w:r>
        <w:rPr>
          <w:u w:val="single"/>
        </w:rPr>
        <w:t xml:space="preserve"> </w:t>
      </w:r>
      <w:r>
        <w:rPr>
          <w:u w:val="single"/>
        </w:rPr>
        <w:t xml:space="preserve">In this section, "private design professional" has the meaning assigned by Section 2252.905.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Texas Department of Transportation may make a determination under this subchapter that a private design professional is precluded from performing a contract for architectural or engineering services or from participating in a procurement for those services, the department must adopt a written preclusion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published or distributed in a manner that ensures that private design professionals in this state are aware of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private design professional be notified in writing at the time the Texas Department of Transportation determines that a potential basis for preclusion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appeals process by which the private design professional is given a reasonable amount of time to establish that no basis for preclusion under the policy exists.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3989 was passed by the House on April 20, 2023, by the following vote:</w:t>
      </w:r>
      <w:r xml:space="preserve">
        <w:t> </w:t>
      </w:r>
      <w:r xml:space="preserve">
        <w:t> </w:t>
      </w:r>
      <w:r>
        <w:t xml:space="preserve">Yeas 142,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3989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