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3989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May</w:t>
      </w:r>
      <w:r xml:space="preserve">
        <w:t> </w:t>
      </w:r>
      <w:r>
        <w:t xml:space="preserve">2,</w:t>
      </w:r>
      <w:r xml:space="preserve">
        <w:t> </w:t>
      </w:r>
      <w:r>
        <w:t xml:space="preserve">2023, read first time and referred to Committee on Transportation; May</w:t>
      </w:r>
      <w:r xml:space="preserve">
        <w:t> </w:t>
      </w:r>
      <w:r>
        <w:t xml:space="preserve">11,</w:t>
      </w:r>
      <w:r xml:space="preserve">
        <w:t> </w:t>
      </w:r>
      <w:r>
        <w:t xml:space="preserve">2023, reported favorably by the following vote:</w:t>
      </w:r>
      <w:r>
        <w:t xml:space="preserve"> </w:t>
      </w:r>
      <w:r>
        <w:t xml:space="preserve"> </w:t>
      </w:r>
      <w:r>
        <w:t xml:space="preserve">Yeas 8,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adoption of a policy on the preclusion of private design professionals from contracting with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2261, Government Code, is amended by adding Section 2261.260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2261.260.</w:t>
      </w:r>
      <w:r>
        <w:rPr>
          <w:u w:val="single"/>
        </w:rPr>
        <w:t xml:space="preserve"> </w:t>
      </w:r>
      <w:r>
        <w:rPr>
          <w:u w:val="single"/>
        </w:rPr>
        <w:t xml:space="preserve"> </w:t>
      </w:r>
      <w:r>
        <w:rPr>
          <w:u w:val="single"/>
        </w:rPr>
        <w:t xml:space="preserve">TEXAS DEPARTMENT OF TRANSPORTATION PRECLUSION POLICY FOR PRIVATE DESIGN PROFESSIONALS.  (a) </w:t>
      </w:r>
      <w:r>
        <w:rPr>
          <w:u w:val="single"/>
        </w:rPr>
        <w:t xml:space="preserve"> </w:t>
      </w:r>
      <w:r>
        <w:rPr>
          <w:u w:val="single"/>
        </w:rPr>
        <w:t xml:space="preserve">In this section, "private design professional" has the meaning assigned by Section 2252.905.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Texas Department of Transportation may make a determination under this subchapter that a private design professional is precluded from performing a contract for architectural or engineering services or from participating in a procurement for those services, the department must adopt a written preclusion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policy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published or distributed in a manner that ensures that private design professionals in this state are aware of the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that the private design professional be notified in writing at the time the Texas Department of Transportation determines that a potential basis for preclusion exists;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an appeals process by which the private design professional is given a reasonable amount of time to establish that no basis for preclusion under the policy exists.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