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88R13034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3993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admission of students with a nontraditional secondary education to certain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51.803, Education Code, is amended by amending Subsection (a) and adding Subsection (m) to read as follows:</w:t>
      </w:r>
    </w:p>
    <w:p w:rsidR="003F3435" w:rsidRDefault="0032493E">
      <w:pPr>
        <w:spacing w:line="480" w:lineRule="auto"/>
        <w:ind w:firstLine="720"/>
        <w:jc w:val="both"/>
      </w:pPr>
      <w:r>
        <w:t xml:space="preserve">(a)</w:t>
      </w:r>
      <w:r xml:space="preserve">
        <w:t> </w:t>
      </w:r>
      <w:r xml:space="preserve">
        <w:t> </w:t>
      </w:r>
      <w:r>
        <w:t xml:space="preserve">Subject to Subsection (a-1), each general academic teaching institution shall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and:</w:t>
      </w:r>
    </w:p>
    <w:p w:rsidR="003F3435" w:rsidRDefault="0032493E">
      <w:pPr>
        <w:spacing w:line="480" w:lineRule="auto"/>
        <w:ind w:firstLine="1440"/>
        <w:jc w:val="both"/>
      </w:pPr>
      <w:r>
        <w:t xml:space="preserve">(1)</w:t>
      </w:r>
      <w:r xml:space="preserve">
        <w:t> </w:t>
      </w:r>
      <w:r xml:space="preserve">
        <w:t> </w:t>
      </w:r>
      <w:r>
        <w:t xml:space="preserve">the applicant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graduated from a public or private high school in this state accredited by a generally recognized accrediting organization or from a high school operated by the United States Department of Defense;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completed a nontraditional secondary education as defined by Section 51.9241;</w:t>
      </w:r>
    </w:p>
    <w:p w:rsidR="003F3435" w:rsidRDefault="0032493E">
      <w:pPr>
        <w:spacing w:line="480" w:lineRule="auto"/>
        <w:ind w:firstLine="1440"/>
        <w:jc w:val="both"/>
      </w:pPr>
      <w:r>
        <w:t xml:space="preserve">(2)</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successfully completed:</w:t>
      </w:r>
    </w:p>
    <w:p w:rsidR="003F3435" w:rsidRDefault="0032493E">
      <w:pPr>
        <w:spacing w:line="480" w:lineRule="auto"/>
        <w:ind w:firstLine="2880"/>
        <w:jc w:val="both"/>
      </w:pPr>
      <w:r>
        <w:t xml:space="preserve">(i)</w:t>
      </w:r>
      <w:r xml:space="preserve">
        <w:t> </w:t>
      </w:r>
      <w:r xml:space="preserve">
        <w:t> </w:t>
      </w:r>
      <w:r>
        <w:t xml:space="preserve">at a public high school, the curriculum requirements established under Section 28.025 for the distinguished level of achievement under the foundation high school program; or</w:t>
      </w:r>
    </w:p>
    <w:p w:rsidR="003F3435" w:rsidRDefault="0032493E">
      <w:pPr>
        <w:spacing w:line="480" w:lineRule="auto"/>
        <w:ind w:firstLine="2880"/>
        <w:jc w:val="both"/>
      </w:pPr>
      <w:r>
        <w:t xml:space="preserve">(ii)</w:t>
      </w:r>
      <w:r xml:space="preserve">
        <w:t> </w:t>
      </w:r>
      <w:r xml:space="preserve">
        <w:t> </w:t>
      </w:r>
      <w:r>
        <w:t xml:space="preserve">at a high school to which Section 28.025 does not apply, a curriculum that is equivalent in content and rigor to the distinguished level of achievement under the foundation high school program; or</w:t>
      </w:r>
    </w:p>
    <w:p w:rsidR="003F3435" w:rsidRDefault="0032493E">
      <w:pPr>
        <w:spacing w:line="480" w:lineRule="auto"/>
        <w:ind w:firstLine="2160"/>
        <w:jc w:val="both"/>
      </w:pPr>
      <w:r>
        <w:t xml:space="preserve">(B)</w:t>
      </w:r>
      <w:r xml:space="preserve">
        <w:t> </w:t>
      </w:r>
      <w:r xml:space="preserve">
        <w:t> </w:t>
      </w:r>
      <w:r>
        <w:t xml:space="preserve">satisfied ACT's College Readiness Benchmarks on the ACT assessment applicable to the applicant or earned on the SAT assessment a score of at least 1,500 out of 2,400 or the equivalent; and</w:t>
      </w:r>
    </w:p>
    <w:p w:rsidR="003F3435" w:rsidRDefault="0032493E">
      <w:pPr>
        <w:spacing w:line="480" w:lineRule="auto"/>
        <w:ind w:firstLine="1440"/>
        <w:jc w:val="both"/>
      </w:pPr>
      <w:r>
        <w:t xml:space="preserve">(3)</w:t>
      </w:r>
      <w:r xml:space="preserve">
        <w:t> </w:t>
      </w:r>
      <w:r xml:space="preserve">
        <w:t> </w:t>
      </w:r>
      <w:r>
        <w:t xml:space="preserve">if the applicant graduated from a high school operated by the United States Department of Defense, the applicant is a Texas resident under Section 54.052 or is entitled to pay tuition fees at the rate provided for Texas residents under Section 54.241(d) for the term or semester to which admitted.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In determining the eligibility for admission under this section of an applicant with a nontraditional secondary education, as defined by Section 51.9241, that does not include a high school graduating class ranking, a general academic teaching institution shall calculate the applicant's class rank in the manner provided by Section 51.9241(d).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beginning with admissions to a public institution of higher education for the 2024 fall semester.  Admissions to a public institution of higher education for a term or semester before the 2024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