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88R12316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regulatory authority of certain counties to protect the operations of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231, Local Government Code, is amended by adding Subchapter N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N. </w:t>
      </w:r>
      <w:r>
        <w:rPr>
          <w:u w:val="single"/>
        </w:rPr>
        <w:t xml:space="preserve"> </w:t>
      </w:r>
      <w:r>
        <w:rPr>
          <w:u w:val="single"/>
        </w:rPr>
        <w:t xml:space="preserve">DEVELOPMENT REGULATIONS IN CERTAIN COUNTIES WITH WATERSHEDS THAT INCLUDE MILITARY INSTALLATIONS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231.301.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LEGISLATIVE FINDINGS.  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ability of the military to train and prepare for future military operations at Joint Base San Antonio-Camp Bullis is of vital concern to the entire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economy of the entire state is affected by the ability of the military to train and prepare for future military operations at Joint Base San Antonio-Camp Bullis;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orderly development of the unincorporated areas of a county located in the watershed of Joint Base San Antonio-Camp Bullis will protect the ability of the installation to operate as a military installation;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without adequate county development regulations, the unincorporated areas will be developed in ways that endanger and interfere with the ability of Joint Base San Antonio-Camp Bullis to operate as a military installation.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231.302.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DEVELOPMENT REGULATIONS IN UNINCORPORATED AREA.  The commissioners court of a county that has unincorporated area located in the watershed of Joint Base San Antonio-Camp Bullis by order may adopt for that area: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lot size restrictions and well spacing requirements consistent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of a groundwater conservation district that are applicable to the area;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best management practices to mitigate flooding and stormwater impacts and preserve water quality;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requirement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primary supplier of water to a proposed subdivision be contractually obligated to provide a sufficient supply of water for a period of at least 50 years;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secondary supplier of water be contractually obligated to adequately serve the residents of the subdivision during normal and drought conditions to prevent the depletion of water supplies to military installations;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design standards for roadways to employ best management practices for managing flood waters and protecting public safety and operations at the military installation;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a minimum amount of open space or a limitation on the amount of impervious cover for recharge and runoff purposes;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local floodplain zones or other measures to preserve floodways and riparian corridors to minimize conflicts between incompatible land uses within the watersheds that jeopardize military operations;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regulations necessary to regulate and manage land development if deemed critical to military operations.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231.303.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EXCEPTION.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aggrieved by a development regulation adopted under this subchapter may appeal to the commissioners court of the county that adopted the regulation for a special exception.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appealing under Subsection (a) must comply with applicable procedural requirements prescribed by the county before the county may grant a special exception.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each county that adopts development regulations under this subchapter shall adopt procedures governing special exception applications, notice, hearings, and other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231.304.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COOPERATION WITH OTHER POLITICAL SUBDIVISIONS.  The commissioners court of a county authorized to adopt development regulations under this subchapter may enter into an agreement with a municipality or other governmental entity located in the county to assist in the implementation and enforcement of the regulations.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231.305.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LOT SIZE RESTRICTIONS IN CERTAIN AREAS.  A county must adopt and impose a lot size restriction under this subchapter in accordance with any desired future conditions adopted under Chapter 36, Water Code, by a groundwater conservation district in which the subdivision is wholly or partly located for an area: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designed as a priority groundwater management area;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served by a public water supply system that uses water from the Trinity Aquifer.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