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88R12217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evaluation of child-care providers participating in the Texas Rising Star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2308.3155, Government Code, is amended by adding Subsections (b-3) and (b-4)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determining the provider's rating under the rating system adopted under Subsection (b),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comments from caregivers employed by the child-care provider and parents of children receiving care from the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any investigations by the Department of Family and Protective Services relating to the provider;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provider's detailed licensing information, including any reports against the provider for a violation of the minimum standards for the provider and any adverse action taken by the Health and Human Services Commission against the provider's license or registration.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collaborate with the Department of Family and Protective Services and the Health and Human Services Commission to obtain the information described by Subsections (b-3)(2) and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