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88R13484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4039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municipal services to land annexed by a municipality for full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 Local Government Code, is amended by adding Section 43.006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43.006.</w:t>
      </w:r>
      <w:r>
        <w:rPr>
          <w:u w:val="single"/>
        </w:rPr>
        <w:t xml:space="preserve"> </w:t>
      </w:r>
      <w:r>
        <w:rPr>
          <w:u w:val="single"/>
        </w:rPr>
        <w:t xml:space="preserve"> </w:t>
      </w:r>
      <w:r>
        <w:rPr>
          <w:u w:val="single"/>
        </w:rPr>
        <w:t xml:space="preserve">PROVISION OF FULL MUNICIPAL SERVICES; DISANNEXATION. </w:t>
      </w:r>
      <w:r>
        <w:rPr>
          <w:u w:val="single"/>
        </w:rPr>
        <w:t xml:space="preserve"> </w:t>
      </w:r>
      <w:r>
        <w:rPr>
          <w:u w:val="single"/>
        </w:rPr>
        <w:t xml:space="preserve">(a)  In this section, "full municipal services" means a municipality's provision of each of the following to annexed land to allow the full development of the land consistent with existing zoning regulations, a development agreement entered into under Section 212.172, or rights that have accrued for a project under this chapter or Chapter 245: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police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fire protection, including fire hydrants;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provision of solid waste collection, other than those services that a municipality is not required to provide under Section 43.056(o) to an area subject to that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construction, operation, and maintenance of water and wastewater facilities;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construction, operation, and maintenance of roads and streets, including road and street lighting;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construction, operation, and maintenance of any other facility, building, or service to be owned by the municipality and completed at the time of annexation.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annexed land regardless of whether the land was annexed with the landowner's consent.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land annexed by a municipality for full purposes before September 1, 2023, the municipality must provide, at its cost, full municipal services to the land not later than September 1, 2027.  For land annexed by a municipality for full purposes after September 1, 2023, the municipality must provide, at its cost, full municipal services to the land not later than the fourth anniversary of the annexation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fee to a person for all or part of the municipality's cost to provide full municipal services to annexed land;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or enforce an ordinance, rule, or other measure, or enter into an agreement, that requires a person to fund a service necessary for the municipality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full municipal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construct an improvement necessary to provide full municipal services;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dedicate land necessary to provide full municipal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person to waive a right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municipality violates this section, an affected landowner may bring an action seeking disannexation of the owner's land from the municipality.  In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has the burden of proving by clear and convincing evidence that the municipality fully complied with this section, and the court may not use a deferential standard;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time period for providing full municipal services under Subsection (c) has passed and the annexed land that is the subject of the action has not been provided with full municipal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irrebuttable presumption exists that the municipality has failed to comply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court shall order disannexation of the land.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action described by Subsection (e) is in addition to the enforcement provisions provided by Section 43.908.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