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88R13429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4042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appraisal for ad valorem tax purposes of tangible personal property used for the production of income that, in the owner's opinion, has an aggregate value of less than a certain amount.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23, Tax Code, is amended by adding Section 23.1212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23.1212.</w:t>
      </w:r>
      <w:r>
        <w:rPr>
          <w:u w:val="single"/>
        </w:rPr>
        <w:t xml:space="preserve"> </w:t>
      </w:r>
      <w:r>
        <w:rPr>
          <w:u w:val="single"/>
        </w:rPr>
        <w:t xml:space="preserve"> </w:t>
      </w:r>
      <w:r>
        <w:rPr>
          <w:u w:val="single"/>
        </w:rPr>
        <w:t xml:space="preserve">INCOME-PRODUCING TANGIBLE PERSONAL PROPERTY HAVING VALUE OF LESS THAN $20,000. </w:t>
      </w:r>
      <w:r>
        <w:rPr>
          <w:u w:val="single"/>
        </w:rPr>
        <w:t xml:space="preserve"> </w:t>
      </w:r>
      <w:r>
        <w:rPr>
          <w:u w:val="single"/>
        </w:rPr>
        <w:t xml:space="preserve">(a) </w:t>
      </w:r>
      <w:r>
        <w:rPr>
          <w:u w:val="single"/>
        </w:rPr>
        <w:t xml:space="preserve"> </w:t>
      </w:r>
      <w:r>
        <w:rPr>
          <w:u w:val="single"/>
        </w:rPr>
        <w:t xml:space="preserve">This section applies only to tangible personal property used for the production of income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property owner's opinion, has an aggregate value of less than $20,000;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rendered in the manner provided by Section 22.01(f).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appraiser shall determine the appraised value of property to which this section applies to be the property owner's good faith estimate of the aggregate market value of the property as contained in the rendition statement for the property unless the chief appraiser determines there is clear and convincing evidence that the owner's good faith estimate is incorrect.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22.01(g) does not apply to a protest, hearing, appeal, suit, or other proceeding under this title relating to the appraised value of property to which this section applies.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 tax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