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88R4083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optional filing of a record of life for an unborn child and the use of a certificate of stillbirth;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192, Health and Safety Code, is amended to read as follows:</w:t>
      </w:r>
    </w:p>
    <w:p w:rsidR="003F3435" w:rsidRDefault="0032493E">
      <w:pPr>
        <w:spacing w:line="480" w:lineRule="auto"/>
        <w:jc w:val="center"/>
      </w:pPr>
      <w:r>
        <w:t xml:space="preserve">CHAPTER 192.  BIRTH </w:t>
      </w:r>
      <w:r>
        <w:rPr>
          <w:u w:val="single"/>
        </w:rPr>
        <w:t xml:space="preserve">AND LIFE</w:t>
      </w:r>
      <w:r>
        <w:t xml:space="preserv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192, Health and Safety Code, is amended by adding Section 192.0023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192.0023.</w:t>
      </w:r>
      <w:r>
        <w:rPr>
          <w:u w:val="single"/>
        </w:rPr>
        <w:t xml:space="preserve"> </w:t>
      </w:r>
      <w:r>
        <w:rPr>
          <w:u w:val="single"/>
        </w:rPr>
        <w:t xml:space="preserve"> </w:t>
      </w:r>
      <w:r>
        <w:rPr>
          <w:u w:val="single"/>
        </w:rPr>
        <w:t xml:space="preserve">OPTIONAL REGISTRATION OF LIFE; LIFE CERTIFICATE.  (a)  In this section, "unborn child" has the meaning assigned by Section 171.061.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unborn child's parent who is a resident of this state at the parent's discretion may request the preparation of a life certificate for the unborn child before the unborn child's birth.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prescribe the form and content of the life certificate and shall specify the information necessary to prepare the certificate.  The form must include separate spaces for recording: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unborn child's life is acknowledged;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unborn child is born.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who requests the life certificate may provide a name for the unborn child to be listed on the life certificate.  If the parent does not wish to provide a name, the vital statistics unit shall fill in the certificate with the name "baby boy" or "baby girl" and the last name of the parent.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of an unborn child's parent, a physician or advanced practice registered nurse shall file the life certificate with the local registrar of the registration district in which the parent resides.  The life certificate must be accompanied by an affidavit signed by the physician or nurse attesting to the life of the unborn child based on a sonogram or other appropriate physical examination of the unborn child's mother.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parent may request an amendment to the life certificate after the child's birth to add the child's date of birth or add or amend the child's name.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local registrar shall collect, record, preserve, search for, issue copies of, and assess copy fees for a life certificate in the same manner as provided for birth certificates and in accordance with department rules.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parents of an unborn child may use the life certificate of an unborn child filed under this section in the same manner and for the same purposes provided for birth certificates under law and as provided by department rules.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executive commissioner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192.0022(f),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