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compliance with minimum safety standards as a condition for the issuance of tax-supported bonds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45, Education Code, is amended by adding Section 45.0012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45.0012.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STANDARDS AS CONDITION FOR ISSUANCE OF TAX-SUPPORTED BONDS.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issuing bonds described by Section 45.001, a school district must demonstrate to the agency, including the provisions of written assurances, that the district has satisfied at least one of the following conditions: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buildings and other district facilities comply with minimum safety standards as determined by commissioner rule;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Proceeds from the bonds to be sold will be used to achieve compliance with the minimum safety standards determined by commissioner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required to comply with an assurance provided to the agency under Subsection (a)(2).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