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88R11868 EAS-F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Johnson of Dallas</w:t>
      </w:r>
      <w:r xml:space="preserve">
        <w:tab wTab="150" tlc="none" cTlc="0"/>
      </w:r>
      <w:r>
        <w:t xml:space="preserve">H.B.</w:t>
      </w:r>
      <w:r xml:space="preserve">
        <w:t> </w:t>
      </w:r>
      <w:r>
        <w:t xml:space="preserve">No.</w:t>
      </w:r>
      <w:r xml:space="preserve">
        <w:t> </w:t>
      </w:r>
      <w:r>
        <w:t xml:space="preserve">4068</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newborn testing for congenital cytomegalovirus.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47, Health and Safety Code, is amended by adding Section 47.0032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47.0032.</w:t>
      </w:r>
      <w:r>
        <w:rPr>
          <w:u w:val="single"/>
        </w:rPr>
        <w:t xml:space="preserve"> </w:t>
      </w:r>
      <w:r>
        <w:rPr>
          <w:u w:val="single"/>
        </w:rPr>
        <w:t xml:space="preserve"> </w:t>
      </w:r>
      <w:r>
        <w:rPr>
          <w:u w:val="single"/>
        </w:rPr>
        <w:t xml:space="preserve">NEWBORN TESTING FOR CONGENITAL CYTOMEGALOVIRUS.  (a) </w:t>
      </w:r>
      <w:r>
        <w:rPr>
          <w:u w:val="single"/>
        </w:rPr>
        <w:t xml:space="preserve"> </w:t>
      </w:r>
      <w:r>
        <w:rPr>
          <w:u w:val="single"/>
        </w:rPr>
        <w:t xml:space="preserve">In this section, "congenital cytomegalovirus" means human herpesvirus cytomegalovirus acquired by a newborn before birth.</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birthing facility, through a program certified by the department under Section 47.004, shall perform, either directly as part of the newborn dried blood spot screening or through a referral to another program certified under that section, a test for congenital cytomegalovirus on each newborn before the newborn is discharged from the facility unless: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parents decline the test;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newborn is transferred to another facility before the test is performed;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test has previously been completed;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newborn was discharged from the birthing facility not more than 10 hours after birth and a referral for the newborn was made to a program certified under Section 47.004 at another birthing facility or operated by a physician or other health care provider.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birthing facility shall inform the parents during admission that the facility is required by law to conduct a test for congenital cytomegalovirus and that the parents may decline the test.</w:t>
      </w:r>
      <w:r>
        <w:t xml:space="preserve"> </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Subject to Section 47.008, the department shall maintain data and information on each newborn who receives a test under Subsection (b).</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department shall ensure that the results of the test required by Subsection (b) are communicated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newborn's parents; and</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newborn's designated physician or health care provider.</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If a newborn receives medical intervention services for congenital cytomegalovirus, including pharmaceutical intervention, the specialist shall report the results of the intervention to the department and, if necessary, inform the newborn's designated physician or health care provider.</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The executive commissioner may adopt rules as necessary to implement this section.</w:t>
      </w:r>
      <w:r>
        <w:t xml:space="preserve"> </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4068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