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88R13031 SHH-D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Meyer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4069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required disclosure of prices by a veterinarian before providing emergency treatment to an ill or injured animal.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H, Chapter 801, Occupations Code, is amended by adding Section 801.3581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801.3581.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PRICE TRANSPARENCY FOR EMERGENCY CARE.  The board shall adopt rules to require a veterinarian to disclose to the owner or other caretaker of an animal the following information before providing emergency treatment to an ill or injured animal: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description of the proposed treatment;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estimated price of the proposed treatment.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Not later than December 1, 2023, the State Board of Veterinary Medical Examiners shall adopt rules to implement Section 801.3581, Occupations Code, as added by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4069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