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88R17432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Schaefer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4070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4070: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4070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eliminating the requirement that private primary and secondary schools post certain signs regarding human trafficking.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37.086(a)(2),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"School" means a public [</w:t>
      </w:r>
      <w:r>
        <w:rPr>
          <w:strike/>
        </w:rPr>
        <w:t xml:space="preserve">or private</w:t>
      </w:r>
      <w:r>
        <w:t xml:space="preserve">] primary or secondary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4070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