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Button, Frank, Capriglione, Cook</w:t>
      </w:r>
      <w:r xml:space="preserve">
        <w:tab wTab="150" tlc="none" cTlc="0"/>
      </w:r>
      <w:r>
        <w:t xml:space="preserve">H.B.</w:t>
      </w:r>
      <w:r xml:space="preserve">
        <w:t> </w:t>
      </w:r>
      <w:r>
        <w:t xml:space="preserve">No.</w:t>
      </w:r>
      <w:r xml:space="preserve">
        <w:t> </w:t>
      </w:r>
      <w:r>
        <w:t xml:space="preserve">4077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qualifying for an exemption from ad valorem taxation of the residence homestead of an elderly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(a) and (k), </w:t>
      </w:r>
      <w:r>
        <w:rPr>
          <w:u w:val="single"/>
        </w:rPr>
        <w:t xml:space="preserve">if</w:t>
      </w:r>
      <w:r>
        <w:t xml:space="preserve"> a person who receives an exemption under Section 11.13, other than an exemption under Section 11.13(c) or (d) for an individual 65 years of age or older, in a tax year </w:t>
      </w:r>
      <w:r>
        <w:rPr>
          <w:u w:val="single"/>
        </w:rPr>
        <w:t xml:space="preserve">becomes 65 years of age in the next tax year, the person</w:t>
      </w:r>
      <w:r>
        <w:t xml:space="preserve"> is entitled to receive </w:t>
      </w:r>
      <w:r>
        <w:rPr>
          <w:u w:val="single"/>
        </w:rPr>
        <w:t xml:space="preserve">and the chief appraiser shall allow</w:t>
      </w:r>
      <w:r>
        <w:t xml:space="preserve"> an exemption under Section 11.13(c) or (d) for an individual 65 years of age or older in </w:t>
      </w:r>
      <w:r>
        <w:rPr>
          <w:u w:val="single"/>
        </w:rPr>
        <w:t xml:space="preserve">that</w:t>
      </w:r>
      <w:r>
        <w:t xml:space="preserve"> [</w:t>
      </w:r>
      <w:r>
        <w:rPr>
          <w:strike/>
        </w:rPr>
        <w:t xml:space="preserve">the</w:t>
      </w:r>
      <w:r>
        <w:t xml:space="preserve">] next tax year on the same property without </w:t>
      </w:r>
      <w:r>
        <w:rPr>
          <w:u w:val="single"/>
        </w:rPr>
        <w:t xml:space="preserve">requiring the person to apply</w:t>
      </w:r>
      <w:r>
        <w:t xml:space="preserve"> [</w:t>
      </w:r>
      <w:r>
        <w:rPr>
          <w:strike/>
        </w:rPr>
        <w:t xml:space="preserve">applying</w:t>
      </w:r>
      <w:r>
        <w:t xml:space="preserve">] for </w:t>
      </w:r>
      <w:r>
        <w:rPr>
          <w:u w:val="single"/>
        </w:rPr>
        <w:t xml:space="preserve">or otherwise request</w:t>
      </w:r>
      <w:r>
        <w:t xml:space="preserve"> the exemption if the </w:t>
      </w:r>
      <w:r>
        <w:rPr>
          <w:u w:val="single"/>
        </w:rPr>
        <w:t xml:space="preserve">person's</w:t>
      </w:r>
      <w:r>
        <w:t xml:space="preserve"> [</w:t>
      </w:r>
      <w:r>
        <w:rPr>
          <w:strike/>
        </w:rPr>
        <w:t xml:space="preserve">person becomes 65 years of</w:t>
      </w:r>
      <w:r>
        <w:t xml:space="preserve">] age </w:t>
      </w:r>
      <w:r>
        <w:rPr>
          <w:u w:val="single"/>
        </w:rPr>
        <w:t xml:space="preserve">is</w:t>
      </w:r>
      <w:r>
        <w:t xml:space="preserve"> [</w:t>
      </w:r>
      <w:r>
        <w:rPr>
          <w:strike/>
        </w:rPr>
        <w:t xml:space="preserve">in that next year as</w:t>
      </w:r>
      <w:r>
        <w:t xml:space="preserve">]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