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88R25258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Leo-Wilson, Bonnen,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laws requiring health care cost disclosures by health benefit plan issuers and administrators.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1662.003(b) and (c), Insurance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this chapter applies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basic coverage plan under Chapter 1551;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basic plan under Chapter 1575;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primary care coverage plan under Chapter 1579;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plan providing basic coverage under Chapter 1601;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 regional or local health care program operated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(8)</w:t>
      </w:r>
      <w:r>
        <w:t xml:space="preserve">]</w:t>
      </w:r>
      <w:r xml:space="preserve">
        <w:t> </w:t>
      </w:r>
      <w:r xml:space="preserve">
        <w:t> </w:t>
      </w:r>
      <w: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chapter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health reimbursement arrangement or other account-based health benefit plan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or</w:t>
      </w:r>
      <w:r>
        <w:t xml:space="preserve">] a workers' compensation insurance policy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operated under Section 75.104, Health and Safety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