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88R4286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availability of certain working papers and electronic communications of certain administrative law judges and technical examiners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552.144,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552.144.</w:t>
      </w:r>
      <w:r xml:space="preserve">
        <w:t> </w:t>
      </w:r>
      <w:r xml:space="preserve">
        <w:t> </w:t>
      </w:r>
      <w:r>
        <w:t xml:space="preserve">EXCEPTION:  WORKING PAPERS AND ELECTRONIC COMMUNICATIONS OF ADMINISTRATIVE LAW JUDGES </w:t>
      </w:r>
      <w:r>
        <w:rPr>
          <w:u w:val="single"/>
        </w:rPr>
        <w:t xml:space="preserve">AND TECHNICAL EXAMINERS</w:t>
      </w:r>
      <w:r>
        <w:t xml:space="preserve"> AT STATE OFFICE OF ADMINISTRATIVE HEARINGS </w:t>
      </w:r>
      <w:r>
        <w:rPr>
          <w:u w:val="single"/>
        </w:rPr>
        <w:t xml:space="preserve">AND RAILROAD COMMISSION</w:t>
      </w:r>
      <w:r>
        <w:t xml:space="preserve">.  The following working papers and electronic communications of an administrative law judge at the State Office of Administrative Hearings </w:t>
      </w:r>
      <w:r>
        <w:rPr>
          <w:u w:val="single"/>
        </w:rPr>
        <w:t xml:space="preserve">or a technical examiner or administrative law judge at the Railroad Commission of Texas</w:t>
      </w:r>
      <w:r>
        <w:t xml:space="preserve"> are excepted from the requirements of Section 552.021: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notes and electronic communications recording the observations, thoughts, questions, deliberations, or impressions of an administrative law judge </w:t>
      </w:r>
      <w:r>
        <w:rPr>
          <w:u w:val="single"/>
        </w:rPr>
        <w:t xml:space="preserve">or a technical examiner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drafts of a proposal for decision;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drafts of orders made in connection with conducting contested case hearings;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drafts of orders made in connection with conducting alternative dispute resolution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by a governmental body or an officer for public information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