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88R7314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employment of a behavior specialist by regional education service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8, Education Code, is amended by adding Section 8.062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8.062.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BEHAVIOR SPECIALIST.  (a) </w:t>
      </w:r>
      <w:r>
        <w:rPr>
          <w:u w:val="single"/>
        </w:rPr>
        <w:t xml:space="preserve"> </w:t>
      </w:r>
      <w:r>
        <w:rPr>
          <w:u w:val="single"/>
        </w:rPr>
        <w:t xml:space="preserve">Each regional education service center shall employ as a behavior specialist a person licensed as a behavior analyst under Chapter 506, Occupations Code, to provide school districts served by the center with support and resources that are necessary to assist students and families of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behavior specialist: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provide support and resources that 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teacher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classroom management and support;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accommodations to curriculum and instruction;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evidence-based education techniques;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behavioral strategies and tactics;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personalized systems of instruction;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programmatic instruction;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technology solutions;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individualized education program support;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provide services described by Section 506.003(d), Occupations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conduct a required school evaluation or assessment of a student, including a functional behavioral assessment.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