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88R11522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business entity to receive a credit against the ad valorem taxes imposed by a school district on the business entity's property in exchange for donating equipment to the school district to be used in a course that may lead to a commercial driver's license or commercial learner's permit and providing that such a course may satisfy public high school graduation requirements for electives.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28.025(b-17),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(b-17)</w:t>
      </w:r>
      <w:r xml:space="preserve">
        <w:t> </w:t>
      </w:r>
      <w:r xml:space="preserve">
        <w:t> </w:t>
      </w:r>
      <w:r>
        <w:t xml:space="preserve">The State Board of Education shall adopt rules to ensure that a student may comply with the curriculum requirements under Subsection (b-1)(6) by successfully completing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advanced career and technical course, including a course that may lead to an industry-recognized credential or certificate or an associate degree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course that may lead to a commercial driver's license or commercial learner's permit issued under Chapter 522, Transportation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31, Tax Code, is amended by adding Section 31.038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31.038.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TAX CREDIT FOR DONATION TO SUPPORT COURSE RELATED TO COMMERCIAL DRIVER'S LICENSE OR COMMERCIAL LEARNER'S PERMIT.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 entity" means a legal entity, including a corporation or partnership, that is formed for the purpose of making a profit.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"Principal office" means the location where the decision makers for a business entity conduct the daily affairs of the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owner of property is entitled to a credit against the taxes imposed in a tax year on that property by a school district if the owner: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business entity whose principal office is located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approval of the school district, donates a vehicle or equipment to the school district for use in a course described by Section 28.025(b-17)(2),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the credit to which a property owner is entitled under this section against the taxes imposed in a tax year on the property by a school district is equal to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value of the vehicles or equipment described by Subsection (b) that the property owner donated to the school district during the preceding 12-month period.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amount of the credit to which a property owner is entitled under this section in any tax year exceeds the amount of tax imposed on the property in that tax year by a school district, the excess amount may be carried forward and credited against the taxes imposed in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subsequent tax years. A property owner may receive a credit under this section against the taxes imposed by the school district until the earlier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first tax year in which the aggregate amount of the credits received equals the value of the donated vehicle or equipment;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first tax year after the 10th tax year in which the property owner receives the credit.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year in which the property owner donates a vehicle or equipment to a school district, the property owner must file an application with the chief appraiser of the appraisal district in which the property is located to receive a credit under this section.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application must include an affidavit stating the value of the donations made by the property owner during the preceding 12-month period and include any relevant information or documentation required by the application form.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appraiser shall forward a copy of the application to the comptroller. For purposes of determining the amount of the credit, the comptroller shall determine the value of a vehicle or equipment donated under this section. The comptroller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the value submitted by the property owner under Subsection (e);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 the value of the donated vehicle or equipment in an amount the comptroller considers appropriate.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adopt rules for the implementation and administration of this section, including rules: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prescribing the form of an application for the credit and specifying the 12-month period during which donations may be used to calculate the credit;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determining the value of vehicles and equipment donated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28.025(b-17), Education Code, as amended by this Act,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31.038, Tax Code, as added by this Act,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