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88R13663 CXP-F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Leo-Wilson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4097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acceptable uses of the instructional materials and technology fund and the review of certain instructional materials by the State Board of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31.021(c),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Money in the state instructional materials and technology fund shall be used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fund the instructional materials and technology allotment, as provided by Section 31.0211;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purchase special instructional materials for the education of blind and visually impaired students in public schools;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pay the expenses associated with the instructional materials adoption and review process under this chapter;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pay the expenses associated with the purchase or licensing of open education resource instructional material;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pay the expenses associated with the purchase of instructional material, including freight and shipping and the insurance expenses associated with freight and shipping;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fund the technology lending grant program established under Section 32.301;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provide funding to the Texas School for the Blind and Visually Impaired, the Texas School for the Deaf, and the Texas Juvenile Justice Department;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pay the expenses associated with the instructional materials web portal developed under Section 31.081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pay the expenses associated with the review of instructional materials under Section 31.0222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31, Education Code, is amended by adding Section 31.0222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31.0222.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REVIEW OF INSTRUCTIONAL MATERIAL NOT SUBMITTED BY PUBLISHER.  (a)  At any time, the State Board of Education may review an instructional material not submitted by a publisher.  A review under this section does not require a board proclamation.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review under this section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a determination of the percentage of the elements of the essential knowledge and skills of the subject and grade level covered for the instructional material as provided under Section 31.023(a-1);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made available to school districts and the public.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4097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