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4103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housing discrimination on the basis of a person's source of income and to the enforcement of that prohibition.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301.003, Property Code, is amended by adding Subdivision (10-a) to read as follows:</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"Source of income"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housing choice voucher under Section 8, United States Housing Act of 1937 (42 U.S.C. Section 1437f);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federal or state or local housing assistance provided to a family or an individual or to a homeowner on behalf of a family or an individual, including rental vouchers, rental assistance, or rental subsidies from a nongovernmental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w:t>
      </w:r>
      <w:r>
        <w:rPr>
          <w:strike/>
        </w:rPr>
        <w:t xml:space="preserve">or</w:t>
      </w:r>
      <w:r>
        <w:t xml:space="preserve">] national origin</w:t>
      </w:r>
      <w:r>
        <w:rPr>
          <w:u w:val="single"/>
        </w:rPr>
        <w:t xml:space="preserve">, or source of income</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source of income;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or source of income</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or source of income,</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or source of income,</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250.007, Local Government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applies only to a complaint filed with the Texas Workforce Commission civil rights division on or after the effective date of this Act.  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