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88R11591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H.B.</w:t>
      </w:r>
      <w:r xml:space="preserve">
        <w:t> </w:t>
      </w:r>
      <w:r>
        <w:t xml:space="preserve">No.</w:t>
      </w:r>
      <w:r xml:space="preserve">
        <w:t> </w:t>
      </w:r>
      <w:r>
        <w:t xml:space="preserve">4105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registration of large electrical loads.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39.166.</w:t>
      </w:r>
      <w:r>
        <w:rPr>
          <w:u w:val="single"/>
        </w:rPr>
        <w:t xml:space="preserve"> </w:t>
      </w:r>
      <w:r>
        <w:rPr>
          <w:u w:val="single"/>
        </w:rPr>
        <w:t xml:space="preserve"> </w:t>
      </w:r>
      <w:r>
        <w:rPr>
          <w:u w:val="single"/>
        </w:rPr>
        <w:t xml:space="preserve">LARGE ELECTRICAL LOADS.  The independent organization certified under Section 39.151 for the ERCOT power region may adopt standards for the registration of loads in excess of 75 megawatts operating in the ERCOT power region.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