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88R13754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provision of behavioral and mental health care services and trauma-informed care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533.0051(a)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outcome-based performance measures and incentives to include in each contract between a health maintenance organization and the commission for the provision of health care services</w:t>
      </w:r>
      <w:r>
        <w:rPr>
          <w:u w:val="single"/>
        </w:rPr>
        <w:t xml:space="preserve">, including behavioral and mental health care services,</w:t>
      </w:r>
      <w:r>
        <w:t xml:space="preserve"> to recipients that is procured and managed under a value-based purchasing model.</w:t>
      </w:r>
      <w:r xml:space="preserve">
        <w:t> </w:t>
      </w:r>
      <w:r xml:space="preserve">
        <w:t> </w:t>
      </w:r>
      <w:r>
        <w:t xml:space="preserve">The performance measures and incentives must:</w:t>
      </w:r>
    </w:p>
    <w:p w:rsidR="003F3435" w:rsidRDefault="0032493E">
      <w:pPr>
        <w:spacing w:line="480" w:lineRule="auto"/>
        <w:ind w:firstLine="1440"/>
        <w:jc w:val="both"/>
      </w:pPr>
      <w:r>
        <w:t xml:space="preserve">(1)</w:t>
      </w:r>
      <w:r xml:space="preserve">
        <w:t> </w:t>
      </w:r>
      <w:r xml:space="preserve">
        <w:t> </w:t>
      </w:r>
      <w:r>
        <w:t xml:space="preserve">be designed to facilitate and increase recipients' access to appropriate health care services</w:t>
      </w:r>
      <w:r>
        <w:rPr>
          <w:u w:val="single"/>
        </w:rPr>
        <w:t xml:space="preserve">, including behavioral and mental health care services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to the extent possible, align with other state and regional quality care improvement initiatives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contracts for the provision of behavioral and mental health care services to recipients under the STAR Health program, be designed to facilitate and increase recipients' access to trauma-informed care</w:t>
      </w:r>
      <w:r>
        <w:t xml:space="preserve">.</w:t>
      </w:r>
    </w:p>
    <w:p w:rsidR="003F3435" w:rsidRDefault="0032493E">
      <w:pPr>
        <w:spacing w:line="480" w:lineRule="auto"/>
        <w:ind w:firstLine="720"/>
        <w:jc w:val="both"/>
      </w:pPr>
      <w:r>
        <w:t xml:space="preserve">(d)</w:t>
      </w:r>
      <w:r xml:space="preserve">
        <w:t> </w:t>
      </w:r>
      <w:r xml:space="preserve">
        <w:t> </w:t>
      </w:r>
      <w:r>
        <w:t xml:space="preserve">Subject to Subsection (f), the commission shall assess the feasibility and cost-effectiveness of including provisions in a contract described by Subsection (a) that require the health maintenance organization to provide to the providers in the organization's provider network pay-for-performance opportunities that support quality improvements in the care of recipients.  Pay-for-performance opportunities may include incentives for providers to provide care after normal business hours and to participate in the early and periodic screening, diagnosis, and treatment program and other activities that improve recipients' access to care</w:t>
      </w:r>
      <w:r>
        <w:rPr>
          <w:u w:val="single"/>
        </w:rPr>
        <w:t xml:space="preserve">, including trauma-informed care and behavioral and mental health care services</w:t>
      </w:r>
      <w:r>
        <w:t xml:space="preserve">.  If the commission determines that the provisions are feasible and may be cost-effective, the commission shall develop and implement a pilot program in at least one health care service region under which the commission will include the provisions in contracts with health maintenance organizations offering managed care plans in the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533.0052, Government Code, is amended by amending Subsection (a) and adding Subsections (c), (d), and (e)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w:t>
      </w:r>
      <w:r>
        <w:rPr>
          <w:u w:val="single"/>
        </w:rPr>
        <w:t xml:space="preserve">, including behavioral and mental health care services,</w:t>
      </w:r>
      <w:r>
        <w:t xml:space="preserve"> to recipients under the STAR Health program must include a requirement that [</w:t>
      </w:r>
      <w:r>
        <w:rPr>
          <w:strike/>
        </w:rPr>
        <w:t xml:space="preserve">trauma-informed care training be offered to</w:t>
      </w:r>
      <w:r>
        <w:t xml:space="preserve">] each contracted physician or provider </w:t>
      </w:r>
      <w:r>
        <w:rPr>
          <w:u w:val="single"/>
        </w:rPr>
        <w:t xml:space="preserve">who diagnoses or provides treatment for a behavioral or mental health condition or prescribes psychotropic medication receive training regarding the impact of trauma on children and trauma-informed care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determine the appropriate information to include in the training required by Subsection (a). The training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effects of trauma, toxic stress, and adverse childhood experiences on a child's: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brain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cognitive, emotional, psychological, physical, and behavioral functioning;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trauma screening and accessing a child's trauma history;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management of traumatic memories and trauma-related symptoms;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overlap between symptoms of trauma and symptoms of mental health disorders, including attention-deficit/hyperactivity disorder, bipolar disorder, and oppositional defiant disorder;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risks of using psychotropic medication for children who have experienced trauma;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availability of research-supported or evidence-based, trauma-informed, non-pharmacological interventions;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appropriate coding and billing procedures for reimbursement of trauma-informed care, treatments, and services;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impact of trauma on children with an intellectual or developmental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make at least one opportunity to receive the training required by Subsection (a) available at no cost to each physician or provider described by Subsection (a) with whom a contract is entered into or renewed.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establish performance measures and incentives described by Section 533.0051 to encourage improved access to trauma-informed care and behavioral and mental health care services for recipients under the STAR Health program and to support contracted physicians or providers described by Subsection (a) in receiving: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training required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additional training in research-supported or evidence-based, trauma-informed, non-pharmacological interventions.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rules necessary to implement Sections 533.0051 and 533.0052,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Sections 533.0051 and 533.0052, Government Code, as amended by this Act, apply only to a contract between the Health and Human Services Commission and a managed care organization that is entered into or renewed on or after the effective date of this Act.</w:t>
      </w:r>
    </w:p>
    <w:p w:rsidR="003F3435" w:rsidRDefault="0032493E">
      <w:pPr>
        <w:spacing w:line="480" w:lineRule="auto"/>
        <w:ind w:firstLine="720"/>
        <w:jc w:val="both"/>
      </w:pPr>
      <w:r>
        <w:t xml:space="preserve">(b)</w:t>
      </w:r>
      <w:r xml:space="preserve">
        <w:t> </w:t>
      </w:r>
      <w:r xml:space="preserve">
        <w:t> </w:t>
      </w:r>
      <w:r>
        <w:t xml:space="preserve">To the extent permitted by law or the terms of the contract, the Health and Human Services Commission shall amend a contract entered into before the effective date of this Act with a managed care organization to comply with Sections 533.0051 and 533.0052,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Section 533.0052, Government Code, as amended by this Act, a physician or provider is not required to complete the training described by that section before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