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4122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operation and movement of motorcycles on a roadway laned for traffic.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545, Transportation Code, is amended by adding Section 545.0605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545.0605.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OPERATION OF MOTORCYCLES ON ROADWAY LANED FOR TRAFFIC.  (a)  The operator of a motorcycle: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entitled to full use of a lane and, except as otherwise provided by Subdivision (2), a motor vehicle may not be driven in a manner that deprives a motorcycle of the full use of a lane;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operate the motorcycle two abreast in a single lane with another motorcycle;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 the motorcycle more than two abreast in a single lane with other motorcycles;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 the motorcycle between lanes of traffic moving in the same direction;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pass a motor vehicle while in the same lane as the vehicle being passed.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(a)(3) does not apply to a police officer in the performance of the officer's official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