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88R13133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4135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statewide literacy improvement plan for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29.937.</w:t>
      </w:r>
      <w:r>
        <w:rPr>
          <w:u w:val="single"/>
        </w:rPr>
        <w:t xml:space="preserve"> </w:t>
      </w:r>
      <w:r>
        <w:rPr>
          <w:u w:val="single"/>
        </w:rPr>
        <w:t xml:space="preserve"> </w:t>
      </w:r>
      <w:r>
        <w:rPr>
          <w:u w:val="single"/>
        </w:rPr>
        <w:t xml:space="preserve">STATEWIDE LITERACY IMPROVEMENT PLAN.  (a) </w:t>
      </w:r>
      <w:r>
        <w:rPr>
          <w:u w:val="single"/>
        </w:rPr>
        <w:t xml:space="preserve"> </w:t>
      </w:r>
      <w:r>
        <w:rPr>
          <w:u w:val="single"/>
        </w:rPr>
        <w:t xml:space="preserve">The agency shall develop a statewide plan for improving literacy among public school students in partnership with one or more organizations, such as Literacy First, that provide tutoring services, one-to-one literacy interventions, teacher and staff training, instructional coaching, and other supports related to improving literacy in early grades.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the plan under Subsection (a), the agency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draft budget for implementation of the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strategy that provides for a staggered implementation of the plan that begins in schools identified by the agency as having the most need for literacy improvement and is gradually expanded to each school district and open-enrollment charter school in the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Education Agency shall develop the statewide literacy improvement plan under Section 29.937, Education Code, as added by this Act, as soon as practicable and not later than September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