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4141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Finance; May</w:t>
      </w:r>
      <w:r xml:space="preserve">
        <w:t> </w:t>
      </w:r>
      <w:r>
        <w:t xml:space="preserve">15,</w:t>
      </w:r>
      <w:r xml:space="preserve">
        <w:t> </w:t>
      </w:r>
      <w:r>
        <w:t xml:space="preserve">2023, reported favorably by the following vote:</w:t>
      </w:r>
      <w:r>
        <w:t xml:space="preserve"> </w:t>
      </w:r>
      <w:r>
        <w:t xml:space="preserve"> </w:t>
      </w:r>
      <w:r>
        <w:t xml:space="preserve">Yeas 16, Nays 1;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study conducted by the Teacher Retirement System of Texas on the feasibility of offering alternative service retirement benefits to peace officers who are members of the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825, Government Code, is amended by adding Section 825.1085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825.1085.</w:t>
      </w:r>
      <w:r>
        <w:rPr>
          <w:u w:val="single"/>
        </w:rPr>
        <w:t xml:space="preserve"> </w:t>
      </w:r>
      <w:r>
        <w:rPr>
          <w:u w:val="single"/>
        </w:rPr>
        <w:t xml:space="preserve"> </w:t>
      </w:r>
      <w:r>
        <w:rPr>
          <w:u w:val="single"/>
        </w:rPr>
        <w:t xml:space="preserve">STUDY AND REPORT ON ALTERNATIVE SERVICE RETIREMENT BENEFITS FOR PEACE OFFICERS.  (a) The retirement system shall conduct a study on the feasibility of offering members who are peace officers alternative service retirement benefits under the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the retirement system shall assess the costs to and impact on the retirement system associated with offering members who are peace officers the following alternative service retirement benefits: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service retirement benefit under the existing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a supplemental benefit for peace officers that is substantially similar in design and cost structure to the supplemental retirement benefit payable from the law enforcement and custodial officer supplemental retirement fund established under Section 815.317;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service retirement benefit under a cash balance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substantially similar in design and cost structure to the cash balance benefit plan established under Chapter 820, except that the plan considered under this subdivision may not offer a supplemental retirement benefit for peace officers similar to the supplemental retirement benefit for law enforcement and custodial officers provided under Chapter 820;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cash balance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substantially similar in design and cost structure to the cash balance benefit plan established under Chapter 820, including by providing a supplemental retirement benefit for peace officers similar to the supplemental retirement benefit provided to law enforcement and custodial officers provided under Chapter 820;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 2024, an employer who employs peace officers shall submit the following information to the retirement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peace officers employed by the employer on December 31, 2023;</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unfilled peace officer positions on December 31, 2023;</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10-year period before December 31, 2023, the average years of service earned by peace officers who resigned before retirement;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compensation or salary scale for peace officers employed by the employer.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31, 2024, the retirement system shall prepare and submit a report to the legislature that contains the findings of the study and the information submitted to the retirement system under Subsection (c).</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Legislative Budget Board and the State Pension Review Board shall, as necessary: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 the retirement system in conducting the study;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retirement system with any information needed to complete the report required under Subsection (d).</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on September 1, 2025.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