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88R6329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Clardy</w:t>
      </w:r>
      <w:r xml:space="preserve">
        <w:tab wTab="150" tlc="none" cTlc="0"/>
      </w:r>
      <w:r>
        <w:t xml:space="preserve">H.B.</w:t>
      </w:r>
      <w:r xml:space="preserve">
        <w:t> </w:t>
      </w:r>
      <w:r>
        <w:t xml:space="preserve">No.</w:t>
      </w:r>
      <w:r xml:space="preserve">
        <w:t> </w:t>
      </w:r>
      <w:r>
        <w:t xml:space="preserve">4146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health care employment agencies; authorizing a fee; providing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G, Title 2, Health and Safety Code, is amended by adding Chapter 148 to read as follows:</w:t>
      </w:r>
    </w:p>
    <w:p w:rsidR="003F3435" w:rsidRDefault="0032493E">
      <w:pPr>
        <w:spacing w:line="480" w:lineRule="auto"/>
        <w:jc w:val="center"/>
      </w:pPr>
      <w:r>
        <w:rPr>
          <w:u w:val="single"/>
        </w:rPr>
        <w:t xml:space="preserve">CHAPTER 148. HEALTH CARE EMPLOYMENT AGENCIES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148.001.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"Agency employee" means an individual who contracts with or is employed by a health care employment agency to provide a direct health care service or nursing service to health care entity patients.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"Direct health care service" means a health care service provided in person to a health care entity patient.  The term does not include the practice of medicine, the practice of osteopathic medicine, or the practice of nursing by an advanced practice registered nurse.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"Health care employment agency" means an agency that contracts with a health care entity to provide to a person, firm, corporation, partnership, or association agency employees for temporary employment, temporary-to-hire employment, direct-hire employment, or any other contract or employee placement type.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"Health care entity"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ambulatory surgical center licensed under Chapter 243;</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assisted living facility licensed under Chapter 247;</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emergency medical services provider licensed under Chapter 773;</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health services district created under Chapter 287;</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home and community support services agency licensed under Chapter 142;</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person licensed under Chapter 142 to provide hospice services, as defined by Section 142.001;</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hospital licensed under Chapter 241;</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 system of hospitals and other health care providers located in this state that are under the common governance or control of a corporate parent;</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an intermediate care facility licensed under Chapter 252;</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 home and community-based services waiver program for individuals with an intellectual disability adopted in accordance with Section 1915(c) of the federal Social Security Act (42 U.S.C. Section 1396n(c)), as amended;</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a nursing home licensed under Chapter 242; or</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an end stage renal disease facility licensed under Chapter 251.</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"Nursing service" means a health care service that may only be provided by or under the supervision of a nurse licensed under Chapter 301, Occupations Code.  The term does not include the practice of nursing by an advanced practice registered nurse.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148.002.</w:t>
      </w:r>
      <w:r>
        <w:rPr>
          <w:u w:val="single"/>
        </w:rPr>
        <w:t xml:space="preserve"> </w:t>
      </w:r>
      <w:r>
        <w:rPr>
          <w:u w:val="single"/>
        </w:rPr>
        <w:t xml:space="preserve"> </w:t>
      </w:r>
      <w:r>
        <w:rPr>
          <w:u w:val="single"/>
        </w:rPr>
        <w:t xml:space="preserve">RULES.  The executive commissioner shall adopt rules to implement this chapter.</w:t>
      </w:r>
    </w:p>
    <w:p w:rsidR="003F3435" w:rsidRDefault="0032493E">
      <w:pPr>
        <w:spacing w:line="480" w:lineRule="auto"/>
        <w:jc w:val="center"/>
      </w:pPr>
      <w:r>
        <w:rPr>
          <w:u w:val="single"/>
        </w:rPr>
        <w:t xml:space="preserve">SUBCHAPTER B.  REGISTRATION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148.051.</w:t>
      </w:r>
      <w:r>
        <w:rPr>
          <w:u w:val="single"/>
        </w:rPr>
        <w:t xml:space="preserve"> </w:t>
      </w:r>
      <w:r>
        <w:rPr>
          <w:u w:val="single"/>
        </w:rPr>
        <w:t xml:space="preserve"> </w:t>
      </w:r>
      <w:r>
        <w:rPr>
          <w:u w:val="single"/>
        </w:rPr>
        <w:t xml:space="preserve">ANNUAL REGISTRATION REQUIRED.  A health care employment agency: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annually register each place of business owned or operated by the agency with the commission in accordance with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establish or operate a place of business described by Subdivision (1) unless the person registers the place of business with the commission in accordance with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148.052.</w:t>
      </w:r>
      <w:r>
        <w:rPr>
          <w:u w:val="single"/>
        </w:rPr>
        <w:t xml:space="preserve"> </w:t>
      </w:r>
      <w:r>
        <w:rPr>
          <w:u w:val="single"/>
        </w:rPr>
        <w:t xml:space="preserve"> </w:t>
      </w:r>
      <w:r>
        <w:rPr>
          <w:u w:val="single"/>
        </w:rPr>
        <w:t xml:space="preserve">REGISTRATION FEE.  A health care employment agency shall annually pay a separate $500 registration fee for each place of business owned or operated by the agency at the time the agency registers with the commission under Section 148.051.</w:t>
      </w:r>
    </w:p>
    <w:p w:rsidR="003F3435" w:rsidRDefault="0032493E">
      <w:pPr>
        <w:spacing w:line="480" w:lineRule="auto"/>
        <w:ind w:firstLine="720"/>
        <w:jc w:val="both"/>
      </w:pPr>
      <w:r>
        <w:rPr>
          <w:u w:val="single"/>
        </w:rPr>
        <w:t xml:space="preserve">Sec.</w:t>
      </w:r>
      <w:r>
        <w:rPr>
          <w:u w:val="single"/>
        </w:rPr>
        <w:t xml:space="preserve"> </w:t>
      </w:r>
      <w:r>
        <w:rPr>
          <w:u w:val="single"/>
        </w:rPr>
        <w:t xml:space="preserve">148.053.</w:t>
      </w:r>
      <w:r>
        <w:rPr>
          <w:u w:val="single"/>
        </w:rPr>
        <w:t xml:space="preserve"> </w:t>
      </w:r>
      <w:r>
        <w:rPr>
          <w:u w:val="single"/>
        </w:rPr>
        <w:t xml:space="preserve"> </w:t>
      </w:r>
      <w:r>
        <w:rPr>
          <w:u w:val="single"/>
        </w:rPr>
        <w:t xml:space="preserve">REGISTRATION CERTIFICATE.  The commission shall issue a separate registration certificate to each place of business owned or operated by a health care employment agency that satisfies the registration requirements under this subchapter.</w:t>
      </w:r>
    </w:p>
    <w:p w:rsidR="003F3435" w:rsidRDefault="0032493E">
      <w:pPr>
        <w:spacing w:line="480" w:lineRule="auto"/>
        <w:jc w:val="center"/>
      </w:pPr>
      <w:r>
        <w:rPr>
          <w:u w:val="single"/>
        </w:rPr>
        <w:t xml:space="preserve">SUBCHAPTER C.  GENERAL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148.101.</w:t>
      </w:r>
      <w:r>
        <w:rPr>
          <w:u w:val="single"/>
        </w:rPr>
        <w:t xml:space="preserve"> </w:t>
      </w:r>
      <w:r>
        <w:rPr>
          <w:u w:val="single"/>
        </w:rPr>
        <w:t xml:space="preserve"> </w:t>
      </w:r>
      <w:r>
        <w:rPr>
          <w:u w:val="single"/>
        </w:rPr>
        <w:t xml:space="preserve">HEALTH CARE EMPLOYMENT AGENCY DUTIES RELATED TO AGENCY EMPLOYEES.  (a)  A health care employment agency: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ensure that each agency employee satisfies the personnel qualifications applicable to the position for which the employee is placed with a health care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maintain records documenting that each agency employee meets minimum licensing, certification, training, and continuing education requirements applicable to the position for which the employee is placed with a health care entity;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report, file, or otherwise provide to the applicable regulatory authority any required documentation of an agency employee that would otherwise be reported, filed, or provided by a health care entity on behalf of the entity's employees;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not restrict in any manner, by contract or otherwise, an agency employee's employment opportunities.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care employment agency may not place an agency employee with a health care entity if the agency knows the employee illegally or fraudulently: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obtained or misrepresented that the employee was issued a diploma, registration, license, or certification;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misrepresented that the employee passed a background check or presented false information to pass a background check.</w:t>
      </w:r>
    </w:p>
    <w:p w:rsidR="003F3435" w:rsidRDefault="0032493E">
      <w:pPr>
        <w:spacing w:line="480" w:lineRule="auto"/>
        <w:jc w:val="center"/>
      </w:pPr>
      <w:r>
        <w:rPr>
          <w:u w:val="single"/>
        </w:rPr>
        <w:t xml:space="preserve">SUBCHAPTER D.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148.151.</w:t>
      </w:r>
      <w:r>
        <w:rPr>
          <w:u w:val="single"/>
        </w:rPr>
        <w:t xml:space="preserve"> </w:t>
      </w:r>
      <w:r>
        <w:rPr>
          <w:u w:val="single"/>
        </w:rPr>
        <w:t xml:space="preserve"> </w:t>
      </w:r>
      <w:r>
        <w:rPr>
          <w:u w:val="single"/>
        </w:rPr>
        <w:t xml:space="preserve">REGISTRATION DENIAL OR REVOCATION; ADMINISTRATIVE PENALTY.  (a)  Except as provided by Subsection (b), if a health care employment agency is found to have violated this chapter or a rule adopted under this chapter,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deny or revoke the agency's registration of each place of business owned or operated by the health care employment agency for a period of one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assess an administrative penalty against the agency in the amount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$500 for the first violation;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$5,000 for each subsequent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not assess an administrative penalty against a health care employment agency under Subsection (a)(2) for a violation of Section 148.101(b).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must provide 30 days' notice before denying or revoking a health care employment agency's registration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148.152.</w:t>
      </w:r>
      <w:r>
        <w:rPr>
          <w:u w:val="single"/>
        </w:rPr>
        <w:t xml:space="preserve"> </w:t>
      </w:r>
      <w:r>
        <w:rPr>
          <w:u w:val="single"/>
        </w:rPr>
        <w:t xml:space="preserve"> </w:t>
      </w:r>
      <w:r>
        <w:rPr>
          <w:u w:val="single"/>
        </w:rPr>
        <w:t xml:space="preserve">HEALTH CARE EMPLOYMENT AGENCY PROHIBITED FROM REGISTRATION.  A health care employment agency that is subject to a registration denial or revocation under this subchapter may not register or renew the registration of another place of business under Section 148.051 during the one-year period following the date of the denial or revocation.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148.153.</w:t>
      </w:r>
      <w:r>
        <w:rPr>
          <w:u w:val="single"/>
        </w:rPr>
        <w:t xml:space="preserve"> </w:t>
      </w:r>
      <w:r>
        <w:rPr>
          <w:u w:val="single"/>
        </w:rPr>
        <w:t xml:space="preserve"> </w:t>
      </w:r>
      <w:r>
        <w:rPr>
          <w:u w:val="single"/>
        </w:rPr>
        <w:t xml:space="preserve">COMPLAINT PROCESS.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system for the public to file complaints against a health care employment agency or agency employee;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investigate complaints described by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report the commission's findings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who filed the complaint;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health care employment agency that is the subject of the complaint or that contracts with or employs the agency employee that is the subject of the complaint, as applicable.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executive commissioner of the Health and Human Services Commission shall adopt rules as necessary to implement Chapter 148,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