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88R12880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closing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61.002, Election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Section 41.032, the presiding election judge or alternate election judge may not order the polls to stay open past the official closing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OTHER ENFORCEMENT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PROHIBITED ORDER.  Notwithstanding any other law or rule, a district judge, county court at law judge, or statutory county court judge may not issue an order that has the effect of extending the hours that polls are required to remain open under  Section 41.031 at any polling place.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