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88R20784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Noble</w:t>
      </w:r>
      <w:r xml:space="preserve">
        <w:tab wTab="150" tlc="none" cTlc="0"/>
      </w:r>
      <w:r>
        <w:t xml:space="preserve">H.B.</w:t>
      </w:r>
      <w:r xml:space="preserve">
        <w:t> </w:t>
      </w:r>
      <w:r>
        <w:t xml:space="preserve">No.</w:t>
      </w:r>
      <w:r xml:space="preserve">
        <w:t> </w:t>
      </w:r>
      <w:r>
        <w:t xml:space="preserve">4169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4169:</w:t>
      </w: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C.S.H.B.</w:t>
      </w:r>
      <w:r xml:space="preserve">
        <w:t> </w:t>
      </w:r>
      <w:r>
        <w:t xml:space="preserve">No.</w:t>
      </w:r>
      <w:r xml:space="preserve">
        <w:t> </w:t>
      </w:r>
      <w:r>
        <w:t xml:space="preserve">4169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prevocational or similar services under certain Medicaid waiver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32.0755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32.0755.</w:t>
      </w:r>
      <w:r>
        <w:rPr>
          <w:u w:val="single"/>
        </w:rPr>
        <w:t xml:space="preserve"> </w:t>
      </w:r>
      <w:r>
        <w:rPr>
          <w:u w:val="single"/>
        </w:rPr>
        <w:t xml:space="preserve"> </w:t>
      </w:r>
      <w:r>
        <w:rPr>
          <w:u w:val="single"/>
        </w:rPr>
        <w:t xml:space="preserve">PREVOCATIONAL SERVICES UNDER CERTAIN WAIVER PROGRAMS.  (a) </w:t>
      </w:r>
      <w:r>
        <w:rPr>
          <w:u w:val="single"/>
        </w:rPr>
        <w:t xml:space="preserve"> </w:t>
      </w:r>
      <w:r>
        <w:rPr>
          <w:u w:val="single"/>
        </w:rPr>
        <w:t xml:space="preserve">In this section, "prevocational services" means services that are designed to prepare an individual for paid or unpaid work and achieve a generalized result rather than being job-task oriented.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Prevocational services provided under the community living assistance and support services (CLASS) waiver program or another medical assistance waiver program providing long-term services or supports to a medical assistance recipient must be designed to assist the recipient in achieving permanent integrated employment receiving compensation at or above the minimum wage in the recipient's community and in accordance with state and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seek a waiver or other necessary authorization from the appropriate federal agency to include prevocational services as part of the individualized skills and socialization services delivered under a medical assistance waiver program providing long-term services and supports.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commission's request for a waiver or other authorization under Subsection (c) is not granted, the commission shall collaborate with relevant stakeholders and applicable federal agencies to establish a service similar to prevocational services in a manner that is authorized by federal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is granted a waiver or other authorization under Subsection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reimbursement rate for the service the commission establishes under that subsection may not exceed the reimbursement rate for individualized skills and socialization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service is combined with individualized skills and socialization services, the commission shall ensure the service may not exceed the total allowable hours or the total costs for individualized skills and socialization services provided under a service plan.</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w:t>
      </w:r>
      <w:r>
        <w:t xml:space="preserve"> </w:t>
      </w:r>
      <w:r>
        <w:t xml:space="preserve">As soon as practicable after the effective date of this Act, the Health and Human Services Commission shall apply for and actively pursue from the appropriate federal agency the waiver or other authorization required by Section 32.0755(c), Human Resources Code, as added by this Act. </w:t>
      </w:r>
      <w:r>
        <w:t xml:space="preserve"> </w:t>
      </w:r>
      <w:r>
        <w:t xml:space="preserve">The commission may delay implementing other provisions of this Act until the waiver or other authorization applied for under that subsection is granted.</w:t>
      </w:r>
    </w:p>
    <w:p w:rsidR="003F3435" w:rsidRDefault="0032493E">
      <w:pPr>
        <w:spacing w:line="480" w:lineRule="auto"/>
        <w:ind w:firstLine="720"/>
        <w:jc w:val="both"/>
      </w:pPr>
      <w:r>
        <w:t xml:space="preserve">(b)</w:t>
      </w:r>
      <w:r xml:space="preserve">
        <w:t> </w:t>
      </w:r>
      <w:r xml:space="preserve">
        <w:t> </w:t>
      </w:r>
      <w:r>
        <w:t xml:space="preserve">If the waiver or other authorization under Section 32.0755(c), Human Resources Code, as added by this Act, is not granted, the Health and Human Services Commission shall, not later than the 60th day after the date the waiver or other authorization is denied, apply for a waiver or other authorization under Section 32.0755(d), Human Resources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4169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