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Ashby, Noble</w:t>
      </w:r>
      <w:r>
        <w:t xml:space="preserve"> (Senate Sponsor</w:t>
      </w:r>
      <w:r xml:space="preserve">
        <w:t> </w:t>
      </w:r>
      <w:r>
        <w:t xml:space="preserve">-</w:t>
      </w:r>
      <w:r xml:space="preserve">
        <w:t> </w:t>
      </w:r>
      <w:r>
        <w:t xml:space="preserve">Sparks)</w:t>
      </w:r>
      <w:r xml:space="preserve">
        <w:tab wTab="150" tlc="none" cTlc="0"/>
      </w:r>
      <w:r>
        <w:t xml:space="preserve">H.B.</w:t>
      </w:r>
      <w:r xml:space="preserve">
        <w:t> </w:t>
      </w:r>
      <w:r>
        <w:t xml:space="preserve">No.</w:t>
      </w:r>
      <w:r xml:space="preserve">
        <w:t> </w:t>
      </w:r>
      <w:r>
        <w:t xml:space="preserve">4169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providing prevocational or similar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must be designed to assist the recipient in achieving permanent integrated employment 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 granted a waiver or other authorization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As soon as practicable after the effective date of this Act, the Health and Human Services Commission shall apply for and actively pursue from the appropriate federal agency the waiver or other authorization required by Section 32.0755(c), Human Resources Code, as added by this Act. </w:t>
      </w:r>
      <w:r>
        <w:t xml:space="preserve"> </w:t>
      </w:r>
      <w:r>
        <w:t xml:space="preserve">The commission may delay implementing other provisions of this Act until the waiver or other authorization applied for under that subsection is granted.</w:t>
      </w:r>
    </w:p>
    <w:p w:rsidR="003F3435" w:rsidRDefault="0032493E">
      <w:pPr>
        <w:spacing w:line="480" w:lineRule="auto"/>
        <w:ind w:firstLine="720"/>
        <w:jc w:val="both"/>
      </w:pPr>
      <w:r>
        <w:t xml:space="preserve">(b)</w:t>
      </w:r>
      <w:r xml:space="preserve">
        <w:t> </w:t>
      </w:r>
      <w:r xml:space="preserve">
        <w:t> </w:t>
      </w:r>
      <w:r>
        <w:t xml:space="preserve">If the waiver or other authorization under Section 32.0755(c), Human Resources Code, as added by this Act, is not granted, the Health and Human Services Commission shall, not later than the 60th day after the date the waiver or other authorization is denied, apply for a waiver or other authorization under Section 32.0755(d),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