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88R10867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overdose prevention and control efforts and the defense to prosecution for certain offenses involving possession of small amounts of controlled substances, marihuana, dangerous drugs, or abusable volatile chemicals, or possession of drug paraphernalia for defendants seeking assistance for a suspected overdose.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OVERDOSE PREVENTION AND CONTROL</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C, Title 6, Health and Safety Code, is amended by adding Chapter 490 to read as follows:</w:t>
      </w:r>
    </w:p>
    <w:p w:rsidR="003F3435" w:rsidRDefault="0032493E">
      <w:pPr>
        <w:spacing w:line="480" w:lineRule="auto"/>
        <w:jc w:val="center"/>
      </w:pPr>
      <w:r>
        <w:rPr>
          <w:u w:val="single"/>
        </w:rPr>
        <w:t xml:space="preserve">CHAPTER 490.  OVERDOSE PREVENTION AND CONTROL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programming interface" means a set of tools, definitions, and protocols for building and integrating application software and service with different software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"Controlled substance"</w:t>
      </w:r>
      <w:r>
        <w:rPr>
          <w:u w:val="single"/>
        </w:rPr>
        <w:t xml:space="preserve"> </w:t>
      </w:r>
      <w:r>
        <w:rPr>
          <w:u w:val="single"/>
        </w:rPr>
        <w:t xml:space="preserve">has the meaning assigned by Section 481.002.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w:t>
      </w:r>
      <w:r>
        <w:rPr>
          <w:u w:val="single"/>
        </w:rPr>
        <w:t xml:space="preserve"> </w:t>
      </w:r>
      <w:r>
        <w:rPr>
          <w:u w:val="single"/>
        </w:rPr>
        <w:t xml:space="preserve">means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commissioner"</w:t>
      </w:r>
      <w:r>
        <w:rPr>
          <w:u w:val="single"/>
        </w:rPr>
        <w:t xml:space="preserve"> </w:t>
      </w:r>
      <w:r>
        <w:rPr>
          <w:u w:val="single"/>
        </w:rPr>
        <w:t xml:space="preserve">means the executive commissioner of the Health and Human Services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technology platform" means the Overdose Detection Mapping Application Program or a similar system that tracks overdose information for public safety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"Opioid antagonist" has the meaning assigned by Section 483.101.</w:t>
      </w:r>
    </w:p>
    <w:p w:rsidR="003F3435" w:rsidRDefault="0032493E">
      <w:pPr>
        <w:spacing w:line="480" w:lineRule="auto"/>
        <w:jc w:val="center"/>
      </w:pPr>
      <w:r>
        <w:rPr>
          <w:u w:val="single"/>
        </w:rPr>
        <w:t xml:space="preserve">SUBCHAPTER B.  DATA COLLECTION AND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490.051.</w:t>
      </w:r>
      <w:r>
        <w:rPr>
          <w:u w:val="single"/>
        </w:rPr>
        <w:t xml:space="preserve"> </w:t>
      </w:r>
      <w:r>
        <w:rPr>
          <w:u w:val="single"/>
        </w:rPr>
        <w:t xml:space="preserve"> </w:t>
      </w:r>
      <w:r>
        <w:rPr>
          <w:u w:val="single"/>
        </w:rPr>
        <w:t xml:space="preserve">OVERDOSE MAPPING.  (a)  The department shall develop an overdose mapping and response system in which a central repository containing information about overdose incidents is established and maintained using the information technology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design the overdose mapping and response system to avoid data entry duplication wherever possible.  The system may include one or more application programming interfaces to transfer information about overdose incidents that are reported to active databases in this state to the information technology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490.052.</w:t>
      </w:r>
      <w:r>
        <w:rPr>
          <w:u w:val="single"/>
        </w:rPr>
        <w:t xml:space="preserve"> </w:t>
      </w:r>
      <w:r>
        <w:rPr>
          <w:u w:val="single"/>
        </w:rPr>
        <w:t xml:space="preserve"> </w:t>
      </w:r>
      <w:r>
        <w:rPr>
          <w:u w:val="single"/>
        </w:rPr>
        <w:t xml:space="preserve">OVERDOSE REPORTING.  (a)  A law enforcement officer who responds to an overdose incident shall report information about the incident to the information technology platform as soon as possible but not later than 24 hours after the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administers emergency services and responds to an overdose incident or transports a person experiencing a confirmed or suspected overdose to a medical facility shall report information about the incident to the information technology platform as soon as possible but not later than 24 hours after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 coroner, medical examiner, or other individual responsible for determining the cause of death determines that the death of a person was caused by an overdose, the coroner, medical examiner, or other individual shall report information about the overdose incident to the information technology platform, or give the information to a person authorized to report it, as soon as possible but not later than 24 hours after the determination of the cause of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overdose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approximate location of the overdose incident;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opioid antagonist was administered, and if so, the number of doses and the type of delivery;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overdose was fatal or nonfatal;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sex and approximate age of the person suffering the overdose incident;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suspected substance involved.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reports information about an overdose incident under this subchapter in good faith is not subject to civil or criminal liability for making the report unless the act constitutes wilful or wanton negligence.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490.053.</w:t>
      </w:r>
      <w:r>
        <w:rPr>
          <w:u w:val="single"/>
        </w:rPr>
        <w:t xml:space="preserve"> </w:t>
      </w:r>
      <w:r>
        <w:rPr>
          <w:u w:val="single"/>
        </w:rPr>
        <w:t xml:space="preserve"> </w:t>
      </w:r>
      <w:r>
        <w:rPr>
          <w:u w:val="single"/>
        </w:rPr>
        <w:t xml:space="preserve">OVERDOSE SPIKE RESPONSE PLANS.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parameters for identifying an overdose spike throughout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overdose spike response plans that coordinate the response of public health, public safety, and emergency management agencies and officials, first responders, community organizations, health care providers, and the media with the goal of preventing and reducing the harm caused by overdose spikes.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overdose spike response plans,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public safety, public health, and behavioral health partnerships within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local communities in identifying additional ways to use information about overdose incidents to deploy public health, behavioral health, and public safety responses to address specific geographic areas or high-risk populations;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in the distribution of opioid antagonists throughout the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assist in implementing strategies to reduce drug supply and demand, especially in high-risk areas and where there are high volumes of high-risk populations.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490.054.</w:t>
      </w:r>
      <w:r>
        <w:rPr>
          <w:u w:val="single"/>
        </w:rPr>
        <w:t xml:space="preserve"> </w:t>
      </w:r>
      <w:r>
        <w:rPr>
          <w:u w:val="single"/>
        </w:rPr>
        <w:t xml:space="preserve"> </w:t>
      </w:r>
      <w:r>
        <w:rPr>
          <w:u w:val="single"/>
        </w:rPr>
        <w:t xml:space="preserve">REPORT BY DEPARTMENT.  Not later than September 1 of each year, the department shall submit an annual report to the legislature regarding the overdose mapping and response system under this subchapter.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overdose incidents reported and the approximate locations where the overdose incidents occurred, including any clusters of overdose incidents;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entities or individuals reporting information about overdose incidents;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percentage of overdose incidents involving fatal overdoses;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in which the reported information about overdose incidents was used for public health, behavioral health, and public safety responses, the outcomes of those responses, and the impact on affected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490.055.</w:t>
      </w:r>
      <w:r>
        <w:rPr>
          <w:u w:val="single"/>
        </w:rPr>
        <w:t xml:space="preserve"> </w:t>
      </w:r>
      <w:r>
        <w:rPr>
          <w:u w:val="single"/>
        </w:rPr>
        <w:t xml:space="preserve"> </w:t>
      </w:r>
      <w:r>
        <w:rPr>
          <w:u w:val="single"/>
        </w:rPr>
        <w:t xml:space="preserve">LIMITATIONS ON DATA USE.  (a)  Information about overdose incidents reported to the overdose mapping and response system by a person other than a law enforcement officer may not be used for a criminal investigation or prosecution of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about overdose incidents reported to, and accessible through, the overdose mapping and response system is confidential and is not subject to disclosure under Chapter 552, Government Code.</w:t>
      </w:r>
    </w:p>
    <w:p w:rsidR="003F3435" w:rsidRDefault="0032493E">
      <w:pPr>
        <w:spacing w:line="480" w:lineRule="auto"/>
        <w:jc w:val="center"/>
      </w:pPr>
      <w:r>
        <w:rPr>
          <w:u w:val="single"/>
        </w:rPr>
        <w:t xml:space="preserve">SUBCHAPTER C.  STATEWIDE OVERDOSE PREVENTION AND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490.101.</w:t>
      </w:r>
      <w:r>
        <w:rPr>
          <w:u w:val="single"/>
        </w:rPr>
        <w:t xml:space="preserve"> </w:t>
      </w:r>
      <w:r>
        <w:rPr>
          <w:u w:val="single"/>
        </w:rPr>
        <w:t xml:space="preserve"> </w:t>
      </w:r>
      <w:r>
        <w:rPr>
          <w:u w:val="single"/>
        </w:rPr>
        <w:t xml:space="preserve">FENTANYL ADDICTION AND OVERDOSE PREVENTION AND EDUCATION CAMPAIGN.  (a)  The department shall develop, implement, and maintain an ongoing statewide prevention and education campaign to address the fentanyl education needs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campaign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for the general public about fentanyl;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precautionary measures to avoid risks and prevent harm caused by fentanyl;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resources for addiction treatment and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on laws regarding the manufacture, delivery, possession, and use of fentanyl, including criminal penalties and immunities for reporting an overdose.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use television advertisements, radio broadcasts, print media, or any other media or digital strategies necessary and appropriate to reach the target audience of the campaign.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provide at least five regional training sessions during the first year of operation of the campaign for community partners to implement youth health development strategies.  This subsection expires December 1, 2025.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develop, implement, and maintain an Internet website to serve as the state resource for the most accurate and timely information regarding fentanyl.  The website must include the information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490.102.</w:t>
      </w:r>
      <w:r>
        <w:rPr>
          <w:u w:val="single"/>
        </w:rPr>
        <w:t xml:space="preserve"> </w:t>
      </w:r>
      <w:r>
        <w:rPr>
          <w:u w:val="single"/>
        </w:rPr>
        <w:t xml:space="preserve"> </w:t>
      </w:r>
      <w:r>
        <w:rPr>
          <w:u w:val="single"/>
        </w:rPr>
        <w:t xml:space="preserve">STATEWIDE SUBSTANCE ABUSE PREVENTION COLLABORATIVE.  (a) The department shall establish a Substance Abuse Prevention Collaborative, composed of the number and composition of members as determined by the executive commissioner to be appropriate. The executive commissioner shall appoint members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institutions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agencies;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agencies;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stakeholders as determined by the executive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Substance Abuse Prevention Collaborative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gather feedback from stakeholders concerning evidence-based overdose prevention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with prevention specialists to provide and support training to strengthen the state's prevention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and assist state agencies and communities to strengthen prevention infrastructure;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statewide strategic plan for prevention of substance use disorders;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advance the use of tested and effective prevention programs and practices through education, outreach, advocacy, and technical assistance;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 efforts to raise public awareness of the cost savings of prevention measures;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direct training and technical assistance to communities regarding the selection, implementation, and sustainment of tested and effective prevention programs;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recommendations to state agencies and communities regarding innovative prevention programs and practices;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support funding efforts to align funding and services and communicate with communities about funding strategies;</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work with key state and community stakeholders to establish minimum standards for prevention programs;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not later than September 1 of each year, submit an annual report to the legislature of the collaborative's progress.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490.103.</w:t>
      </w:r>
      <w:r>
        <w:rPr>
          <w:u w:val="single"/>
        </w:rPr>
        <w:t xml:space="preserve"> </w:t>
      </w:r>
      <w:r>
        <w:rPr>
          <w:u w:val="single"/>
        </w:rPr>
        <w:t xml:space="preserve"> </w:t>
      </w:r>
      <w:r>
        <w:rPr>
          <w:u w:val="single"/>
        </w:rPr>
        <w:t xml:space="preserve">STATE OVERDOSE PREVENTION GRANT PROGRAM.  (a)  The department shall develop and implement a grant program to prevent overdose deaths and reduce health risks associated with substance abuse.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receive a grant, an entity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nonprofit organization that is in good standing and registered with the Internal Revenue Service and the secretary of state's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federally qualified health center or rural health clinic, as defined by 42 U.S.C. Section 1396d(l);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entity may submit an application on behalf of a group of eligible entities, and apportion grant money accordingly, to foster community collaboration and collective impact.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additional eligibility criteria for grant funding;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applications for funding;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award funding based on the developed criteria.</w:t>
      </w:r>
    </w:p>
    <w:p w:rsidR="003F3435" w:rsidRDefault="0032493E">
      <w:pPr>
        <w:spacing w:line="480" w:lineRule="auto"/>
        <w:jc w:val="center"/>
      </w:pPr>
      <w:r>
        <w:t xml:space="preserve">ARTICLE 2.  DEFENSES TO CERTAIN CONTROLLED SUBSTANCE POSSESSION OFFENSES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481.1151(b)(1), 481.116(b),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481.116(b),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481.121(d),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or 481.118(b),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481.125(a),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481.125(a), or 483.041(a)[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jc w:val="center"/>
      </w:pPr>
      <w:r>
        <w:t xml:space="preserve">ARTICLE 3. </w:t>
      </w:r>
      <w:r>
        <w:t xml:space="preserve"> </w:t>
      </w:r>
      <w:r>
        <w:t xml:space="preserve">STUDY ON FENTANYL</w:t>
      </w:r>
    </w:p>
    <w:p w:rsidR="003F3435" w:rsidRDefault="0032493E">
      <w:pPr>
        <w:spacing w:line="480" w:lineRule="auto"/>
        <w:ind w:firstLine="720"/>
        <w:jc w:val="both"/>
      </w:pPr>
      <w:r>
        <w:t xml:space="preserve">SECTION</w:t>
      </w:r>
      <w:r xml:space="preserve">
        <w:t> </w:t>
      </w:r>
      <w:r>
        <w:t xml:space="preserve">3.01. </w:t>
      </w:r>
      <w:r>
        <w:t xml:space="preserve"> </w:t>
      </w:r>
      <w:r>
        <w:t xml:space="preserve">(a) </w:t>
      </w:r>
      <w:r>
        <w:t xml:space="preserve"> </w:t>
      </w:r>
      <w:r>
        <w:t xml:space="preserve">The Department of Public Safety, in consultation with the Health and Human Services Commission, shall conduct a study regarding the use of the Internet, including retail, payment, and social media platforms, for the purpose of distributing fentanyl, alpha-methylfentanyl, any other derivative of fentanyl, synthetic opiates, and counterfeit prescription drugs. The study must:</w:t>
      </w:r>
    </w:p>
    <w:p w:rsidR="003F3435" w:rsidRDefault="0032493E">
      <w:pPr>
        <w:spacing w:line="480" w:lineRule="auto"/>
        <w:ind w:firstLine="1440"/>
        <w:jc w:val="both"/>
      </w:pPr>
      <w:r>
        <w:t xml:space="preserve">(1)</w:t>
      </w:r>
      <w:r xml:space="preserve">
        <w:t> </w:t>
      </w:r>
      <w:r xml:space="preserve">
        <w:t> </w:t>
      </w:r>
      <w:r>
        <w:t xml:space="preserve">examine the prevalence of the availability and accessibility of fentanyl, alpha-methylfentanyl, any other derivative of fentanyl, synthetic opiates, and counterfeit prescription drugs through the Internet;</w:t>
      </w:r>
    </w:p>
    <w:p w:rsidR="003F3435" w:rsidRDefault="0032493E">
      <w:pPr>
        <w:spacing w:line="480" w:lineRule="auto"/>
        <w:ind w:firstLine="1440"/>
        <w:jc w:val="both"/>
      </w:pPr>
      <w:r>
        <w:t xml:space="preserve">(2)</w:t>
      </w:r>
      <w:r xml:space="preserve">
        <w:t> </w:t>
      </w:r>
      <w:r xml:space="preserve">
        <w:t> </w:t>
      </w:r>
      <w:r>
        <w:t xml:space="preserve">identify Internet website policies and practices intended to prevent the use of a website for distributing fentanyl, alpha-methylfentanyl, any other derivative of fentanyl, synthetic opiates, and counterfeit prescription drugs;</w:t>
      </w:r>
    </w:p>
    <w:p w:rsidR="003F3435" w:rsidRDefault="0032493E">
      <w:pPr>
        <w:spacing w:line="480" w:lineRule="auto"/>
        <w:ind w:firstLine="1440"/>
        <w:jc w:val="both"/>
      </w:pPr>
      <w:r>
        <w:t xml:space="preserve">(3)</w:t>
      </w:r>
      <w:r xml:space="preserve">
        <w:t> </w:t>
      </w:r>
      <w:r xml:space="preserve">
        <w:t> </w:t>
      </w:r>
      <w:r>
        <w:t xml:space="preserve">identify laws implemented by other states or the federal government intended to prevent the use of the Internet for distributing fentanyl, alpha-methylfentanyl, any other derivative of fentanyl, synthetic opiates, and counterfeit prescription drugs; and</w:t>
      </w:r>
    </w:p>
    <w:p w:rsidR="003F3435" w:rsidRDefault="0032493E">
      <w:pPr>
        <w:spacing w:line="480" w:lineRule="auto"/>
        <w:ind w:firstLine="1440"/>
        <w:jc w:val="both"/>
      </w:pPr>
      <w:r>
        <w:t xml:space="preserve">(4)</w:t>
      </w:r>
      <w:r xml:space="preserve">
        <w:t> </w:t>
      </w:r>
      <w:r xml:space="preserve">
        <w:t> </w:t>
      </w:r>
      <w:r>
        <w:t xml:space="preserve">examine any other relevant data, information, or resource concerning the use of the Internet for distributing fentanyl, alpha-methylfentanyl, any other derivative of fentanyl, synthetic opiates, and counterfeit prescription drugs.</w:t>
      </w:r>
    </w:p>
    <w:p w:rsidR="003F3435" w:rsidRDefault="0032493E">
      <w:pPr>
        <w:spacing w:line="480" w:lineRule="auto"/>
        <w:ind w:firstLine="720"/>
        <w:jc w:val="both"/>
      </w:pPr>
      <w:r>
        <w:t xml:space="preserve">(b)</w:t>
      </w:r>
      <w:r xml:space="preserve">
        <w:t> </w:t>
      </w:r>
      <w:r xml:space="preserve">
        <w:t> </w:t>
      </w:r>
      <w:r>
        <w:t xml:space="preserve">Not later than September 1, 2024, the Department of Public Safety shall report the results of the study conducted under Subsection (a) of this section to the governor, the lieutenant governor, the speaker of the house of representatives, and the standing committees of the senate and the house of representatives that have jurisdiction over drug trafficking and health care issues. </w:t>
      </w:r>
      <w:r>
        <w:t xml:space="preserve"> </w:t>
      </w:r>
      <w:r>
        <w:t xml:space="preserve">The report must include recommendations for legislation:</w:t>
      </w:r>
    </w:p>
    <w:p w:rsidR="003F3435" w:rsidRDefault="0032493E">
      <w:pPr>
        <w:spacing w:line="480" w:lineRule="auto"/>
        <w:ind w:firstLine="1440"/>
        <w:jc w:val="both"/>
      </w:pPr>
      <w:r>
        <w:t xml:space="preserve">(1)</w:t>
      </w:r>
      <w:r xml:space="preserve">
        <w:t> </w:t>
      </w:r>
      <w:r xml:space="preserve">
        <w:t> </w:t>
      </w:r>
      <w:r>
        <w:t xml:space="preserve">to prevent the use of the Internet for distributing fentanyl, alpha-methylfentanyl, any other derivative of fentanyl, synthetic opiates, and counterfeit prescription drugs;</w:t>
      </w:r>
    </w:p>
    <w:p w:rsidR="003F3435" w:rsidRDefault="0032493E">
      <w:pPr>
        <w:spacing w:line="480" w:lineRule="auto"/>
        <w:ind w:firstLine="1440"/>
        <w:jc w:val="both"/>
      </w:pPr>
      <w:r>
        <w:t xml:space="preserve">(2)</w:t>
      </w:r>
      <w:r xml:space="preserve">
        <w:t> </w:t>
      </w:r>
      <w:r xml:space="preserve">
        <w:t> </w:t>
      </w:r>
      <w:r>
        <w:t xml:space="preserve">imposing criminal and civil liability for the use of the Internet for distributing fentanyl, alpha-methylfentanyl, any other derivative of fentanyl, synthetic opiates, and counterfeit prescription drugs;</w:t>
      </w:r>
    </w:p>
    <w:p w:rsidR="003F3435" w:rsidRDefault="0032493E">
      <w:pPr>
        <w:spacing w:line="480" w:lineRule="auto"/>
        <w:ind w:firstLine="1440"/>
        <w:jc w:val="both"/>
      </w:pPr>
      <w:r>
        <w:t xml:space="preserve">(3)</w:t>
      </w:r>
      <w:r xml:space="preserve">
        <w:t> </w:t>
      </w:r>
      <w:r xml:space="preserve">
        <w:t> </w:t>
      </w:r>
      <w:r>
        <w:t xml:space="preserve">creating consumer reporting mechanisms for reporting to law enforcement the use of an Internet website or online account for distributing fentanyl, alpha-methylfentanyl, any other derivative of fentanyl, synthetic opiates, and counterfeit prescription drugs; and</w:t>
      </w:r>
    </w:p>
    <w:p w:rsidR="003F3435" w:rsidRDefault="0032493E">
      <w:pPr>
        <w:spacing w:line="480" w:lineRule="auto"/>
        <w:ind w:firstLine="1440"/>
        <w:jc w:val="both"/>
      </w:pPr>
      <w:r>
        <w:t xml:space="preserve">(4)</w:t>
      </w:r>
      <w:r xml:space="preserve">
        <w:t> </w:t>
      </w:r>
      <w:r xml:space="preserve">
        <w:t> </w:t>
      </w:r>
      <w:r>
        <w:t xml:space="preserve">implementing any other public policy changes necessary to reduce or eliminate the use of the Internet for distributing fentanyl, alpha-methylfentanyl, any other derivative of fentanyl, synthetic opiates, and counterfeit prescription drugs.</w:t>
      </w:r>
    </w:p>
    <w:p w:rsidR="003F3435" w:rsidRDefault="0032493E">
      <w:pPr>
        <w:spacing w:line="480" w:lineRule="auto"/>
        <w:ind w:firstLine="720"/>
        <w:jc w:val="both"/>
      </w:pPr>
      <w:r>
        <w:t xml:space="preserve">(c)</w:t>
      </w:r>
      <w:r xml:space="preserve">
        <w:t> </w:t>
      </w:r>
      <w:r xml:space="preserve">
        <w:t> </w:t>
      </w:r>
      <w:r>
        <w:t xml:space="preserve">This section expires January 1, 2025.</w:t>
      </w:r>
    </w:p>
    <w:p w:rsidR="003F3435" w:rsidRDefault="0032493E">
      <w:pPr>
        <w:spacing w:line="480" w:lineRule="auto"/>
        <w:jc w:val="center"/>
      </w:pPr>
      <w:r>
        <w:t xml:space="preserve">ARTICLE 4. </w:t>
      </w:r>
      <w:r>
        <w:t xml:space="preserve"> </w:t>
      </w:r>
      <w:r>
        <w:t xml:space="preserve">TRANSITIONS; EFFECTIVE DATE</w:t>
      </w:r>
    </w:p>
    <w:p w:rsidR="003F3435" w:rsidRDefault="0032493E">
      <w:pPr>
        <w:spacing w:line="480" w:lineRule="auto"/>
        <w:ind w:firstLine="720"/>
        <w:jc w:val="both"/>
      </w:pPr>
      <w:r>
        <w:t xml:space="preserve">SECTION</w:t>
      </w:r>
      <w:r xml:space="preserve">
        <w:t> </w:t>
      </w:r>
      <w:r>
        <w:t xml:space="preserve">4.01. </w:t>
      </w:r>
      <w:r>
        <w:t xml:space="preserve"> </w:t>
      </w:r>
      <w:r>
        <w:t xml:space="preserve">(a) </w:t>
      </w:r>
      <w:r>
        <w:t xml:space="preserve"> </w:t>
      </w:r>
      <w:r>
        <w:t xml:space="preserve">Not later than September 1, 2024, the Department of State Health Services shall develop the overdose mapping and response system as required by Section 490.051,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Department of State Health Services shall develop the overdose spike response plans as required by Section 490.053,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September 1, 2024, the Department of State Health Services shall develop and implement the Fentanyl Addiction and Overdose Prevention and Education Campaign as required by Section 490.101, Health and Safety Code, as added by this Act.</w:t>
      </w:r>
    </w:p>
    <w:p w:rsidR="003F3435" w:rsidRDefault="0032493E">
      <w:pPr>
        <w:spacing w:line="480" w:lineRule="auto"/>
        <w:ind w:firstLine="720"/>
        <w:jc w:val="both"/>
      </w:pPr>
      <w:r>
        <w:t xml:space="preserve">(d)</w:t>
      </w:r>
      <w:r xml:space="preserve">
        <w:t> </w:t>
      </w:r>
      <w:r xml:space="preserve">
        <w:t> </w:t>
      </w:r>
      <w:r>
        <w:t xml:space="preserve">Not later than September 1, 2024, the executive commissioner of the Health and Human Services Commission shall appoint the members to the Substance Abuse Prevention Collaborative as required by Section 490.102, Health and Safety Code, as added by this Act.</w:t>
      </w:r>
    </w:p>
    <w:p w:rsidR="003F3435" w:rsidRDefault="0032493E">
      <w:pPr>
        <w:spacing w:line="480" w:lineRule="auto"/>
        <w:ind w:firstLine="720"/>
        <w:jc w:val="both"/>
      </w:pPr>
      <w:r>
        <w:t xml:space="preserve">(e)</w:t>
      </w:r>
      <w:r xml:space="preserve">
        <w:t> </w:t>
      </w:r>
      <w:r xml:space="preserve">
        <w:t> </w:t>
      </w:r>
      <w:r>
        <w:t xml:space="preserve">Not later than September 1, 2024, the Department of State Health Services shall develop and implement the state overdose prevention grant program as required by Section 490.103, Health and Safety Code, as added by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The changes in law made by this Act to Chapters 481, 483, and 485, Health and Safety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