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summary annulment of a nursing license in connection with a fraudulently or unlawfully obtained diploma, license, or other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301.454(a),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in the case of a temporary suspension authorized under Section 301.455 or 301.4551</w:t>
      </w:r>
      <w:r>
        <w:rPr>
          <w:u w:val="single"/>
        </w:rPr>
        <w:t xml:space="preserve">, a summary annulment authorized under Section 301.4552,</w:t>
      </w:r>
      <w:r>
        <w:t xml:space="preserve"> or an action taken in accordance with an agreement between the board and a license holder, the board may not take any disciplinary action relating to a license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board has served notice to the license holder of the facts or conduct alleged to warrant the intended action;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license holder has been given an opportunity, in writing or through an informal meeting, to show compliance with all requirements of law for the retention of the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J, Chapter 301, Occupations Code, is amended by adding Section 301.4552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301.4552.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SUMMARY ANNULMENT FOR CERTAIN VIOLATIONS.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on receipt by the board of credible evidence that the holder of a license issued under this chapter has violated Section 301.451(a)(1), (2), or (3), the board may annul the license without notice or hearing.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Immediately on the issuance of an order annulling a license under this section, the board shall serve notice of the  annulment, personally or by certified mail, on the individual whose license is annulled. </w:t>
      </w:r>
      <w:r>
        <w:rPr>
          <w:u w:val="single"/>
        </w:rPr>
        <w:t xml:space="preserve"> </w:t>
      </w:r>
      <w:r>
        <w:rPr>
          <w:u w:val="single"/>
        </w:rPr>
        <w:t xml:space="preserve">Service is complete and the annulment is effective when the board personally serves the individual or sends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whose license is annulled under this  section may request a hearing for the reinstatement of the license  not later than the 30th day after the date the order annulling the license is issued. </w:t>
      </w:r>
      <w:r>
        <w:rPr>
          <w:u w:val="single"/>
        </w:rPr>
        <w:t xml:space="preserve"> </w:t>
      </w:r>
      <w:r>
        <w:rPr>
          <w:u w:val="single"/>
        </w:rPr>
        <w:t xml:space="preserve">Not later than the 90th day after the date the order was issued, the State Office of Administrative Hearings shall hold the hearing to consider: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individual violated Section 301.451(a)(1), (2), or (3);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annulment of the license is justified.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any proceeding in connection with an alleged violation of Section 301.451(a)(1), (2), or (3), the license holder has the burden of proving by a preponderance of the evidence that the license was lawfully obtained if the license holder submitted, as part of the license holder's application, a transcript, diploma, or other document required for licensure that was issued or purportedly issued by an entity that has been implicated in a scheme of fraud relating to the issuance of transcripts, diplomas, or similar documents.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whose license is annulled under this section may not apply for a license under this chapter until: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first anniversary of the date of issuance of the order annulling the license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applicant provides evidence that they have completed a nursing education program meeting the requirements of Texas Occupation Code section 301.157 and the Board rules  promulgated under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301.4552(e), Occupations Code, as added by this Act, applies only to a proceeding commenced on or after the effective date of this act. A proceeding commenced before that date is governed by the law in effect on the date the proceeding commenced,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