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88R10178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jurisdiction of the supreme court and the court of criminal appeals.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22.002, Government Code, is amended by 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of criminal appeals finds that a statute, rule, or procedure is unconstitutional, the supreme  court, on the petition of the attorney general or a district or county attorney, has original civil jurisdiction to issue writs of quo warranto and mandamus to correct any error in the court of  criminal appeals' decision. </w:t>
      </w:r>
      <w:r>
        <w:rPr>
          <w:u w:val="single"/>
        </w:rPr>
        <w:t xml:space="preserve"> </w:t>
      </w:r>
      <w:r>
        <w:rPr>
          <w:u w:val="single"/>
        </w:rPr>
        <w:t xml:space="preserve">The jurisdiction granted by this subsection applies regardless of whether the decision of the court of criminal appeals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the state constitution, federal constitution, or both;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characterized as criminal or civil;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characterized as final or nonfinal.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22, Government Code, is amended by adding Section 22.1025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22.1025.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CONSTITUTIONAL RULINGS.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by the court of criminal appeals that a statute, rule, or procedure violates the state or federal  constitution is not final and has no effect until the later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60th day after the date of the decision;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dismissal of a petition filed in the supreme court as provided by Section 22.002(f).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is adopted under the legislative authority provided by Section 5(a), Article V, Texas 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any decision issued by the court of criminal appeals on or after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