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88R11189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4189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proceeds from the issuance of  general obligation bonds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1253, Government Code, is amended by adding Section 1253.004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1253.004.</w:t>
      </w:r>
      <w:r>
        <w:rPr>
          <w:u w:val="single"/>
        </w:rPr>
        <w:t xml:space="preserve"> </w:t>
      </w:r>
      <w:r>
        <w:rPr>
          <w:u w:val="single"/>
        </w:rPr>
        <w:t xml:space="preserve"> </w:t>
      </w:r>
      <w:r>
        <w:rPr>
          <w:u w:val="single"/>
        </w:rPr>
        <w:t xml:space="preserve">ALLOCATION OF PROCEEDS.  A political subdivision shall allocate the proceeds from the issuance of general obligation bonds authorized by the voters in the percentage or amount stated in the ballot proposition to authorize the issuance.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