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88R14227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installation by a residential tenant of an electric vehicle charging station in a parking space assigned to the tenant.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INSTALLATION OF ELECTRIC VEHICLE CHARGING STATION BY TENANT OF MULTIUNIT COMPLEX.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vehicle charging station" means equipment manufactured for transferring electric energy from electrical supply to an electric vehicle and associated infrastructure necessary for the operation of the electric vehicle charging 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"Multiunit complex" has the meaning assigned by Section 92.151.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tenant of a multiunit complex may install at the tenant's expense an electric vehicle charging station in accordance with this section at a parking space on the premises that is assigned to the tenant for the tenant's exclusive use in a written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landlord shall, in any written lease that includes a provision for the assignment of a specific parking space to a tenant of a multiunit complex for the tenant's exclusive use, include reasonable terms for the installation of an electric vehicle charging station at the tenant's parking space.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Terms included in a lease under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include a requirement that an electric vehicle charging station and the installation of an electric vehicle charging station comply with applicable law and safety requirements for the protection of persons and property, including that installation shall be performed only by a person who holds any license required by law for the performance of the installation;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requirements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electric vehicle charging station comply with reasonable architectural standards governing the dimensions, placement, or external appearance of the electric vehicle charging station, provided that the standards may not prohibit or have the effect of prohibiting the installation of a charging station or substantially increase the installation cost;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installation of the electric vehicle charging station not cause irreparable damage to the premises;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remove the electric vehicle charging station at the termination of the tenancy;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return the premises to the same condition as before the installation of the electric vehicle charging station.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tenant who installs an electric vehicle charging station under this section shall be responsible for the costs of installation, operation, maintenance, and repair, including hazard and liability insurance.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electricity for the electric vehicle charging station must be separately metered or metered by an embedded meter and payable by the tenant installing the charging station.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require a landlord to provide an assigned parking space to a tenant in order to accommodate an electric vehicle charging station.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92.027, Property Code, as added by this Act, applies only to a lease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