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4196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disciplinary action against a peace officer for failure to comply with certain arrest and charging procedures for violations of the rules of the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543.008, Transportation Code, is amended to read as follows:</w:t>
      </w:r>
    </w:p>
    <w:p w:rsidR="003F3435" w:rsidRDefault="0032493E">
      <w:pPr>
        <w:spacing w:line="480" w:lineRule="auto"/>
        <w:ind w:firstLine="720"/>
        <w:jc w:val="both"/>
      </w:pPr>
      <w:r>
        <w:t xml:space="preserve">Sec.</w:t>
      </w:r>
      <w:r xml:space="preserve">
        <w:t> </w:t>
      </w:r>
      <w:r>
        <w:t xml:space="preserve">543.008.</w:t>
      </w:r>
      <w:r xml:space="preserve">
        <w:t> </w:t>
      </w:r>
      <w:r xml:space="preserve">
        <w:t> </w:t>
      </w:r>
      <w:r>
        <w:t xml:space="preserve">VIOLATION BY OFFICER.</w:t>
      </w:r>
      <w:r xml:space="preserve">
        <w:t> </w:t>
      </w:r>
      <w:r xml:space="preserve">
        <w:t> </w:t>
      </w:r>
      <w:r>
        <w:rPr>
          <w:u w:val="single"/>
        </w:rPr>
        <w:t xml:space="preserve">(a) </w:t>
      </w:r>
      <w:r>
        <w:rPr>
          <w:u w:val="single"/>
        </w:rPr>
        <w:t xml:space="preserve"> </w:t>
      </w:r>
      <w:r>
        <w:rPr>
          <w:u w:val="single"/>
        </w:rPr>
        <w:t xml:space="preserve">Subject to Subsection (b), a</w:t>
      </w:r>
      <w:r>
        <w:t xml:space="preserve"> [</w:t>
      </w:r>
      <w:r>
        <w:rPr>
          <w:strike/>
        </w:rPr>
        <w:t xml:space="preserve">A</w:t>
      </w:r>
      <w:r>
        <w:t xml:space="preserve">] violation by an officer of a provision of Sections 543.003-543.007 is misconduct in office and the officer is subject to removal from the officer's 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 an officer issues a person a written notice to appear in accordance with Section 543.003 and: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refuses to sign the written notice prepared by the officer in accordance with Section 543.005;</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officer does not take the person before a magistrate under Section 543.002 after the person fails to sign the written notice;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officer does not violate any other provision of Sections 543.003-543.007.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conduct that occurs on or after the effective date of this Act.  Conduct that occurs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