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88R2954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4201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 the results of certain home studies performed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262.114, Family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department shall record the results of a home study performed under Subsection (a) in the department's electronic case management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264.207, Family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record the results of a home study performed under Subsection (a) in the department's electronic case management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262.114(a-3) and 264.207(b), Family Code, as added by this Act, apply only to a home study performed on or after the effective date of this Act. A home study performed before the effective date of this Act is governed by the law in effect on the date the home study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