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88R13227 JG-F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Ramos</w:t>
      </w:r>
      <w:r xml:space="preserve">
        <w:tab wTab="150" tlc="none" cTlc="0"/>
      </w:r>
      <w:r>
        <w:t xml:space="preserve">H.B.</w:t>
      </w:r>
      <w:r xml:space="preserve">
        <w:t> </w:t>
      </w:r>
      <w:r>
        <w:t xml:space="preserve">No.</w:t>
      </w:r>
      <w:r xml:space="preserve">
        <w:t> </w:t>
      </w:r>
      <w:r>
        <w:t xml:space="preserve">4205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medical accuracy of informational materials given to a woman seeking an abortion.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171.014(d), Health and Safety Code, is amended to read as follows:</w:t>
      </w:r>
    </w:p>
    <w:p w:rsidR="003F3435" w:rsidRDefault="0032493E">
      <w:pPr>
        <w:spacing w:line="480" w:lineRule="auto"/>
        <w:ind w:firstLine="720"/>
        <w:jc w:val="both"/>
      </w:pPr>
      <w:r>
        <w:t xml:space="preserve">(d)</w:t>
      </w:r>
      <w:r xml:space="preserve">
        <w:t> </w:t>
      </w:r>
      <w:r xml:space="preserve">
        <w:t> </w:t>
      </w:r>
      <w:r>
        <w:t xml:space="preserve">The department shall annually review the materials to determine if changes to the contents of the materials are necessary. The executive commissioner shall adopt rules necessary for considering and making changes to the materials</w:t>
      </w:r>
      <w:r>
        <w:rPr>
          <w:u w:val="single"/>
        </w:rPr>
        <w:t xml:space="preserve">, including rules requiring the department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periodically submit the materials to the American College of Obstetricians and Gynecologists to verify that the materials are medically accurate;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revise the materials to incorporate any recommendations from the American College of Obstetricians and Gynecologists for improving the medical accuracy of the materials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As soon as practicable after the effective date of this Act, the executive commissioner of the Health and Human Services Commission shall adopt rules necessary to implement the changes in law made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4205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