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88R25413 JXC-D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 Dean, Patterson, Goldman,</w:t>
      </w:r>
      <w:r xml:space="preserve">
        <w:tab wTab="150" tlc="none" cTlc="0"/>
      </w:r>
      <w:r>
        <w:t xml:space="preserve">H.B.</w:t>
      </w:r>
      <w:r xml:space="preserve">
        <w:t> </w:t>
      </w:r>
      <w:r>
        <w:t xml:space="preserve">No.</w:t>
      </w:r>
      <w:r xml:space="preserve">
        <w:t> </w:t>
      </w:r>
      <w:r>
        <w:t xml:space="preserve">4208</w:t>
      </w:r>
    </w:p>
    <w:p w:rsidR="003F3435" w:rsidRDefault="0032493E">
      <w:pPr>
        <w:jc w:val="both"/>
      </w:pPr>
      <w:r xml:space="preserve">
        <w:t> </w:t>
      </w:r>
      <w:r xml:space="preserve">
        <w:t> </w:t>
      </w:r>
      <w:r xml:space="preserve">
        <w:t> </w:t>
      </w:r>
      <w:r xml:space="preserve">
        <w:t> </w:t>
      </w:r>
      <w:r xml:space="preserve">
        <w:t> </w:t>
      </w:r>
      <w:r>
        <w:t xml:space="preserve">Hefner</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4208:</w:t>
      </w:r>
    </w:p>
    <w:p w:rsidR="003F3435" w:rsidRDefault="0032493E">
      <w:pPr>
        <w:spacing w:line="480" w:lineRule="auto"/>
        <w:jc w:val="both"/>
        <w:tabs>
          <w:tab w:val="right" w:leader="none" w:pos="9350"/>
        </w:tabs>
      </w:pPr>
      <w:r>
        <w:t xml:space="preserve">By:</w:t>
      </w:r>
      <w:r xml:space="preserve">
        <w:t> </w:t>
      </w:r>
      <w:r xml:space="preserve">
        <w:t> </w:t>
      </w:r>
      <w:r>
        <w:t xml:space="preserve">Smithee</w:t>
      </w:r>
      <w:r xml:space="preserve">
        <w:tab wTab="150" tlc="none" cTlc="0"/>
      </w:r>
      <w:r>
        <w:t xml:space="preserve">C.S.H.B.</w:t>
      </w:r>
      <w:r xml:space="preserve">
        <w:t> </w:t>
      </w:r>
      <w:r>
        <w:t xml:space="preserve">No.</w:t>
      </w:r>
      <w:r xml:space="preserve">
        <w:t> </w:t>
      </w:r>
      <w:r>
        <w:t xml:space="preserve">4208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management and control of certain municipal electric utility systems.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G, Chapter 552, Local Government Code, is amended by adding Section 552.1225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552.1225.</w:t>
      </w:r>
      <w:r>
        <w:rPr>
          <w:u w:val="single"/>
        </w:rPr>
        <w:t xml:space="preserve"> </w:t>
      </w:r>
      <w:r>
        <w:rPr>
          <w:u w:val="single"/>
        </w:rPr>
        <w:t xml:space="preserve"> </w:t>
      </w:r>
      <w:r>
        <w:rPr>
          <w:u w:val="single"/>
        </w:rPr>
        <w:t xml:space="preserve">TRANSFER OF MANAGEMENT AND CONTROL OF ELECTRIC UTILITY SYSTEM OF CERTAIN MUNICIPALITIES. </w:t>
      </w:r>
      <w:r>
        <w:rPr>
          <w:u w:val="single"/>
        </w:rPr>
        <w:t xml:space="preserve"> </w:t>
      </w:r>
      <w:r>
        <w:rPr>
          <w:u w:val="single"/>
        </w:rPr>
        <w:t xml:space="preserve">(a) </w:t>
      </w:r>
      <w:r>
        <w:rPr>
          <w:u w:val="single"/>
        </w:rPr>
        <w:t xml:space="preserve"> </w:t>
      </w:r>
      <w:r>
        <w:rPr>
          <w:u w:val="single"/>
        </w:rPr>
        <w:t xml:space="preserve">A municipality with a population of more than 750,000 that did not transfer management and control of the municipality's electric utility system to a board of trustees under this subchapter before September 1, 2023, shall transfer management and control of the municipality's electric utility system to a board of trustees appointed by the municipality's governing body, except as provided by Subsection (d).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trustees must include seven members who serve staggered five-year terms. A person may not serve more than two terms on the board of trustees.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serve as a member of the board of trustees, a person must have at least 10 years of experience: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administration of business or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 practicing attorney or certified public accountant;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 a professional engineer in a field related to electrical, nuclear, industrial, agricultural, architectural, petroleum-related, chemical, power generation, or energy transmission and distribution work.</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service territory of the municipal electric utility includes at least four municipalities, the mayor of the municipality in the service territory that has the greatest number of retail customers is entitled to appoint four members to the board of trustees, and the mayors of the remaining municipalities in the service territory are entitled jointly to appoint the remaining three members. The mayor of the municipality in the service territory that has the greatest number of retail customers may serve as a board member. </w:t>
      </w:r>
      <w:r>
        <w:rPr>
          <w:u w:val="single"/>
        </w:rPr>
        <w:t xml:space="preserve"> </w:t>
      </w:r>
      <w:r>
        <w:rPr>
          <w:u w:val="single"/>
        </w:rPr>
        <w:t xml:space="preserve">Subsection (c) does not apply to that mayor.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proceedings of the municipality may specify the powers and duties of the board of trustees, the manner of exercising those powers and duties, and any matter relating to the organization and duties of the board.  On any matter not covered by the proceedings, the board of trustees is governed by the laws and rules governing the governing body of the municipality in the service territory that has the greatest number of retail customers, to the extent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4208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