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88R14220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w:t>
      </w:r>
      <w:r xml:space="preserve">
        <w:tab wTab="150" tlc="none" cTlc="0"/>
      </w:r>
      <w:r>
        <w:t xml:space="preserve">H.B.</w:t>
      </w:r>
      <w:r xml:space="preserve">
        <w:t> </w:t>
      </w:r>
      <w:r>
        <w:t xml:space="preserve">No.</w:t>
      </w:r>
      <w:r xml:space="preserve">
        <w:t> </w:t>
      </w:r>
      <w:r>
        <w:t xml:space="preserve">4209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electricity service provided by certain municipally owned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32, Utilities Code, is amended by adding Subchapter D to read as follows:</w:t>
      </w:r>
    </w:p>
    <w:p w:rsidR="003F3435" w:rsidRDefault="0032493E">
      <w:pPr>
        <w:spacing w:line="480" w:lineRule="auto"/>
        <w:jc w:val="center"/>
      </w:pPr>
      <w:r>
        <w:rPr>
          <w:u w:val="single"/>
        </w:rPr>
        <w:t xml:space="preserve">SUBCHAPTER D. </w:t>
      </w:r>
      <w:r>
        <w:rPr>
          <w:u w:val="single"/>
        </w:rPr>
        <w:t xml:space="preserve"> </w:t>
      </w:r>
      <w:r>
        <w:rPr>
          <w:u w:val="single"/>
        </w:rPr>
        <w:t xml:space="preserve">REVIEW OF RATES OF CERTAIN MUNICIPAL UTILITIES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32.151.</w:t>
      </w:r>
      <w:r>
        <w:rPr>
          <w:u w:val="single"/>
        </w:rPr>
        <w:t xml:space="preserve"> </w:t>
      </w:r>
      <w:r>
        <w:rPr>
          <w:u w:val="single"/>
        </w:rPr>
        <w:t xml:space="preserve"> </w:t>
      </w:r>
      <w:r>
        <w:rPr>
          <w:u w:val="single"/>
        </w:rPr>
        <w:t xml:space="preserve">APPLICABILITY. </w:t>
      </w:r>
      <w:r>
        <w:rPr>
          <w:u w:val="single"/>
        </w:rPr>
        <w:t xml:space="preserve"> </w:t>
      </w:r>
      <w:r>
        <w:rPr>
          <w:u w:val="single"/>
        </w:rPr>
        <w:t xml:space="preserve">This subchapter applies only to a municipally owned utility that is governed directly by the governing body of the municipality and is owned by a municipality with a population of more than 750,000.</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32.152.</w:t>
      </w:r>
      <w:r>
        <w:rPr>
          <w:u w:val="single"/>
        </w:rPr>
        <w:t xml:space="preserve"> </w:t>
      </w:r>
      <w:r>
        <w:rPr>
          <w:u w:val="single"/>
        </w:rPr>
        <w:t xml:space="preserve"> </w:t>
      </w:r>
      <w:r>
        <w:rPr>
          <w:u w:val="single"/>
        </w:rPr>
        <w:t xml:space="preserve">REVIEW OF RATES; CUSTOMER CHOICE. </w:t>
      </w:r>
      <w:r>
        <w:rPr>
          <w:u w:val="single"/>
        </w:rPr>
        <w:t xml:space="preserve"> </w:t>
      </w:r>
      <w:r>
        <w:rPr>
          <w:u w:val="single"/>
        </w:rPr>
        <w:t xml:space="preserve">(a) </w:t>
      </w:r>
      <w:r>
        <w:rPr>
          <w:u w:val="single"/>
        </w:rPr>
        <w:t xml:space="preserve"> </w:t>
      </w:r>
      <w:r>
        <w:rPr>
          <w:u w:val="single"/>
        </w:rPr>
        <w:t xml:space="preserve">Notwithstanding any other law, a retail customer or group of customers may file a petition for commission review of current or proposed rates of a municipally owned utility that apply to the petitioning customer or group if the customer or group: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non-demand metered total usage of more than 100,000 kilowatt hours per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served through a demand meter at secondary or primary voltage.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initiate a proceeding not later than the 90th day after the petition is submitted to determine whether the rates of the municipally owned utility are consistent with the rates available to similarly situated customers in areas of the state that have access to customer choice. </w:t>
      </w:r>
      <w:r>
        <w:rPr>
          <w:u w:val="single"/>
        </w:rPr>
        <w:t xml:space="preserve"> </w:t>
      </w:r>
      <w:r>
        <w:rPr>
          <w:u w:val="single"/>
        </w:rPr>
        <w:t xml:space="preserve">If the commission determines that the rates of the municipally owned utility are consistent with the rates available to similarly situated customers in areas of the state that have access to customer choice, the commission shall deny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 does not deny the petition under Subsection (b), not later than the 90th day after the date of the determination described by Subsection (b), the municipally owned utility shall file a rate application with the commission that complies in all material respects with the rules and forms prescribed by the commission. </w:t>
      </w:r>
      <w:r>
        <w:rPr>
          <w:u w:val="single"/>
        </w:rPr>
        <w:t xml:space="preserve"> </w:t>
      </w:r>
      <w:r>
        <w:rPr>
          <w:u w:val="single"/>
        </w:rPr>
        <w:t xml:space="preserve">The commission for good cause may extend the deadline for filing the rate application.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conduct a full review of the rates applicable to the petitioning customer or group to determine whether those rates are just and reasonable using the standards prescribed by Chapter 36, notwithstanding the lack of consistency between those rates and rates available to similarly situated customers in areas of the state that have access to customer choice. </w:t>
      </w:r>
      <w:r>
        <w:rPr>
          <w:u w:val="single"/>
        </w:rPr>
        <w:t xml:space="preserve"> </w:t>
      </w:r>
      <w:r>
        <w:rPr>
          <w:u w:val="single"/>
        </w:rPr>
        <w:t xml:space="preserve">If the commission determines that the rates are just and reasonable, the commission shall deny the petition. </w:t>
      </w:r>
      <w:r>
        <w:rPr>
          <w:u w:val="single"/>
        </w:rPr>
        <w:t xml:space="preserve"> </w:t>
      </w:r>
      <w:r>
        <w:rPr>
          <w:u w:val="single"/>
        </w:rPr>
        <w:t xml:space="preserve">If the commission determines that the rates are not just and reasonable, the commission shall set rates for the petitioning customer or group that are just, reasonable, and consistent with the rates available to similarly situated customers in areas of the state that have access to customer choice.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40.004, Utilities Code, is amended to read as follows:</w:t>
      </w: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JURISDICTION OF COMMISSION.  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by Subchapter A, Chapter 35;</w:t>
      </w:r>
    </w:p>
    <w:p w:rsidR="003F3435" w:rsidRDefault="0032493E">
      <w:pPr>
        <w:spacing w:line="480" w:lineRule="auto"/>
        <w:ind w:firstLine="1440"/>
        <w:jc w:val="both"/>
      </w:pPr>
      <w:r>
        <w:t xml:space="preserve">(2)</w:t>
      </w:r>
      <w:r xml:space="preserve">
        <w:t> </w:t>
      </w:r>
      <w:r xml:space="preserve">
        <w:t> </w:t>
      </w:r>
      <w:r>
        <w:t xml:space="preserve">to regulate certification of retail service areas to the extent provided by Chapter 37;</w:t>
      </w:r>
    </w:p>
    <w:p w:rsidR="003F3435" w:rsidRDefault="0032493E">
      <w:pPr>
        <w:spacing w:line="480" w:lineRule="auto"/>
        <w:ind w:firstLine="1440"/>
        <w:jc w:val="both"/>
      </w:pPr>
      <w:r>
        <w:t xml:space="preserve">(3)</w:t>
      </w:r>
      <w:r xml:space="preserve">
        <w:t> </w:t>
      </w:r>
      <w:r xml:space="preserve">
        <w:t> </w:t>
      </w:r>
      <w:r>
        <w:t xml:space="preserve">to regulate rates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under Subchapter D, Chapter 32, subject to Section 40.051(c); and</w:t>
      </w:r>
    </w:p>
    <w:p w:rsidR="003F3435" w:rsidRDefault="0032493E">
      <w:pPr>
        <w:spacing w:line="480" w:lineRule="auto"/>
        <w:ind w:firstLine="2160"/>
        <w:jc w:val="both"/>
      </w:pPr>
      <w:r>
        <w:rPr>
          <w:u w:val="single"/>
        </w:rPr>
        <w:t xml:space="preserve">(B)</w:t>
      </w:r>
      <w:r xml:space="preserve">
        <w:t> </w:t>
      </w:r>
      <w:r xml:space="preserve">
        <w:t> </w:t>
      </w:r>
      <w:r>
        <w:t xml:space="preserve">on appeal under Subchapters D and E, Chapter 33, subject to Section 40.051(c);</w:t>
      </w:r>
    </w:p>
    <w:p w:rsidR="003F3435" w:rsidRDefault="0032493E">
      <w:pPr>
        <w:spacing w:line="480" w:lineRule="auto"/>
        <w:ind w:firstLine="1440"/>
        <w:jc w:val="both"/>
      </w:pPr>
      <w:r>
        <w:t xml:space="preserve">(4)</w:t>
      </w:r>
      <w:r xml:space="preserve">
        <w:t> </w:t>
      </w:r>
      <w:r xml:space="preserve">
        <w:t> </w:t>
      </w:r>
      <w:r>
        <w:t xml:space="preserve">to establish a code of conduct as provided by Section 39.157(e) applicable to anticompetitive activities and to affiliate activities limited to structurally unbundled affiliates of municipally owned utilities, subject to Section 40.054;</w:t>
      </w:r>
    </w:p>
    <w:p w:rsidR="003F3435" w:rsidRDefault="0032493E">
      <w:pPr>
        <w:spacing w:line="480" w:lineRule="auto"/>
        <w:ind w:firstLine="1440"/>
        <w:jc w:val="both"/>
      </w:pPr>
      <w:r>
        <w:t xml:space="preserve">(5)</w:t>
      </w:r>
      <w:r xml:space="preserve">
        <w:t> </w:t>
      </w:r>
      <w:r xml:space="preserve">
        <w:t> </w:t>
      </w:r>
      <w:r>
        <w:t xml:space="preserve">to establish terms and conditions for open access to transmission and distribution facilities for municipally owned utilities providing customer choice, as provided by Section 39.203;</w:t>
      </w:r>
    </w:p>
    <w:p w:rsidR="003F3435" w:rsidRDefault="0032493E">
      <w:pPr>
        <w:spacing w:line="480" w:lineRule="auto"/>
        <w:ind w:firstLine="1440"/>
        <w:jc w:val="both"/>
      </w:pPr>
      <w:r>
        <w:t xml:space="preserve">(6)</w:t>
      </w:r>
      <w:r xml:space="preserve">
        <w:t> </w:t>
      </w:r>
      <w:r xml:space="preserve">
        <w:t> </w:t>
      </w:r>
      <w:r>
        <w:t xml:space="preserve">to administer the renewable energy credits program under Section 39.904(b) and the natural gas energy credits program under Section 39.9044(b);</w:t>
      </w:r>
    </w:p>
    <w:p w:rsidR="003F3435" w:rsidRDefault="0032493E">
      <w:pPr>
        <w:spacing w:line="480" w:lineRule="auto"/>
        <w:ind w:firstLine="1440"/>
        <w:jc w:val="both"/>
      </w:pPr>
      <w:r>
        <w:t xml:space="preserve">(7)</w:t>
      </w:r>
      <w:r xml:space="preserve">
        <w:t> </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w:t>
      </w:r>
      <w:r xml:space="preserve">
        <w:t> </w:t>
      </w:r>
      <w:r xml:space="preserve">
        <w:t> </w:t>
      </w:r>
      <w:r>
        <w:t xml:space="preserve">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w:t>
      </w:r>
      <w:r xml:space="preserve">
        <w:t> </w:t>
      </w:r>
      <w:r xml:space="preserve">
        <w:t> </w:t>
      </w:r>
      <w:r>
        <w:t xml:space="preserve">enable the commission to determine information relating to market power as provided by Section 39.155; and</w:t>
      </w:r>
    </w:p>
    <w:p w:rsidR="003F3435" w:rsidRDefault="0032493E">
      <w:pPr>
        <w:spacing w:line="480" w:lineRule="auto"/>
        <w:ind w:firstLine="1440"/>
        <w:jc w:val="both"/>
      </w:pPr>
      <w:r>
        <w:t xml:space="preserve">(8)</w:t>
      </w:r>
      <w:r xml:space="preserve">
        <w:t> </w:t>
      </w:r>
      <w:r xml:space="preserve">
        <w:t> </w:t>
      </w:r>
      <w:r>
        <w:t xml:space="preserve">to evaluate and monitor the cybersecurity preparedness of a municipally owned utility described by Section 39.1516(a)(3) or (4).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40.051(c), Utilities Code, is amended to read as follows:</w:t>
      </w:r>
    </w:p>
    <w:p w:rsidR="003F3435" w:rsidRDefault="0032493E">
      <w:pPr>
        <w:spacing w:line="480" w:lineRule="auto"/>
        <w:ind w:firstLine="720"/>
        <w:jc w:val="both"/>
      </w:pPr>
      <w:r>
        <w:t xml:space="preserve">(c)</w:t>
      </w:r>
      <w:r xml:space="preserve">
        <w:t> </w:t>
      </w:r>
      <w:r xml:space="preserve">
        <w:t> </w:t>
      </w:r>
      <w:r>
        <w:t xml:space="preserve">After a decision to offer customer choice has been made, </w:t>
      </w:r>
      <w:r>
        <w:rPr>
          <w:u w:val="single"/>
        </w:rPr>
        <w:t xml:space="preserve">Subchapter D, Chapter 32, and</w:t>
      </w:r>
      <w:r>
        <w:t xml:space="preserve"> Subchapters D and E, Chapter 33, do not apply to any action taken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Z, Chapter 552, Local Government Code, is amended by adding Section 552.915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552.915.</w:t>
      </w:r>
      <w:r>
        <w:rPr>
          <w:u w:val="single"/>
        </w:rPr>
        <w:t xml:space="preserve"> </w:t>
      </w:r>
      <w:r>
        <w:rPr>
          <w:u w:val="single"/>
        </w:rPr>
        <w:t xml:space="preserve"> </w:t>
      </w:r>
      <w:r>
        <w:rPr>
          <w:u w:val="single"/>
        </w:rPr>
        <w:t xml:space="preserve">PROHIBITION ON TRANSFER OF REVENUE.  Notwithstanding any other law, a municipality may not transfer to the general fund of the municipality revenue from a municipally owned utility that is subject to an order issued by the Public Utility Commission of Texas under Section 32.152(d), Utilities Code, that sets the utility's rates.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