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4218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related to a duty to retrofit certain rented or leased motor vehicles with safety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82, Civil Practice and Remedies Code, is amended by adding Section 82.009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82.009.</w:t>
      </w:r>
      <w:r>
        <w:rPr>
          <w:u w:val="single"/>
        </w:rPr>
        <w:t xml:space="preserve"> </w:t>
      </w:r>
      <w:r>
        <w:rPr>
          <w:u w:val="single"/>
        </w:rPr>
        <w:t xml:space="preserve"> </w:t>
      </w:r>
      <w:r>
        <w:rPr>
          <w:u w:val="single"/>
        </w:rPr>
        <w:t xml:space="preserve">LIMITED LIABILITY FOR FAILURE TO RETROFIT CERTAIN RENTED OR LEASED VEHICLES.  (a)  In this section, "retrofit" means to install new equipment or component parts that were not included in a motor vehicle when the vehicle was manufactured or sold.  The term does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routine maintenance;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repairs to the vehicle: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 result of wear and tear;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required by damage resulting from an accident or other cause.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motor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has a gross vehicle weight rating or gross vehicle weight of at least 6,000 pounds;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governed by 49 U.S.C. Section 30106;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is not a motor vehicle that was manufactured primarily for use in the transportation of not more than 10 individuals.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in any civil action, including a products liability action, alleging negligence, gross negligence, or strict liability, a seller who rents or leases a motor vehicle to which this section applies to another person is not liable for failing to retrofit the vehicle with component parts or equipment, or for failing to select component parts or equipment included in the vehicle, that were not required by applicable federal motor vehicle safety standards under 49 C.F.R. Section 571.1 et seq. in effect </w:t>
      </w:r>
      <w:r>
        <w:rPr>
          <w:u w:val="single"/>
        </w:rPr>
        <w:t xml:space="preserve">at the time the vehicle was manufactured or sold.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if the seller fails to comply with a law or regulation, issued after the seller's motor vehicle was manufactured or sold, requiring a mandatory recall or retrofit of the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