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88R11953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actions involving commercial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72.051(2) and (4), Civil Practice and Remedies Code, are amended to read as follows:</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an accident;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accident; or</w:t>
      </w:r>
    </w:p>
    <w:p w:rsidR="003F3435" w:rsidRDefault="0032493E">
      <w:pPr>
        <w:spacing w:line="480" w:lineRule="auto"/>
        <w:ind w:firstLine="2880"/>
        <w:jc w:val="both"/>
      </w:pPr>
      <w:r>
        <w:t xml:space="preserve">(ii)</w:t>
      </w:r>
      <w:r xml:space="preserve">
        <w:t> </w:t>
      </w:r>
      <w:r xml:space="preserve">
        <w:t> </w:t>
      </w:r>
      <w:r>
        <w:t xml:space="preserve">owned, leased, </w:t>
      </w:r>
      <w:r>
        <w:rPr>
          <w:u w:val="single"/>
        </w:rPr>
        <w:t xml:space="preserve">rented,</w:t>
      </w:r>
      <w:r>
        <w:t xml:space="preserve"> or [</w:t>
      </w:r>
      <w:r>
        <w:rPr>
          <w:strike/>
        </w:rPr>
        <w:t xml:space="preserve">otherwise</w:t>
      </w:r>
      <w:r>
        <w:t xml:space="preserve">] held or exercised legal control over a commercial motor vehicle or operator of a commercial motor vehicle involved in the accident.</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 </w:t>
      </w:r>
      <w:r>
        <w:t xml:space="preserve"> </w:t>
      </w:r>
      <w:r>
        <w:t xml:space="preserve">[</w:t>
      </w:r>
      <w:r>
        <w:rPr>
          <w:strike/>
        </w:rPr>
        <w:t xml:space="preserve">The term does not include a motor vehicle being used at the time of the accident for personal, family, or household purposes.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72, Civil Practice and Remedies Code, is amended by adding Section 72.0512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72.0512.</w:t>
      </w:r>
      <w:r>
        <w:rPr>
          <w:u w:val="single"/>
        </w:rPr>
        <w:t xml:space="preserve"> </w:t>
      </w:r>
      <w:r>
        <w:rPr>
          <w:u w:val="single"/>
        </w:rPr>
        <w:t xml:space="preserve"> </w:t>
      </w:r>
      <w:r>
        <w:rPr>
          <w:u w:val="single"/>
        </w:rPr>
        <w:t xml:space="preserve">APPLICABILITY OF SUBCHAPTER.  Notwithstanding Section 72.051, a motor vehicle being used at the time of an accident for personal, family, or household purposes is not considered a commercial motor vehicle for purposes of this subchapter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vehicle had a gross vehicle weight rating or gross vehicle weight of at least 6,000 pounds;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liability for the accident is governed by 49 U.S.C. Section 30106.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72.053, Civil Practice and Remedies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civil action under this subchapter, the duty of care applicable to an owner, lessor, or operator of a commercial motor vehicle involved in an accident or a person renting the vehicle to another person does not include an obligation or duty to retrofit the vehicle with component parts or equipment, or to have selected component parts or equipment to be included on the vehicle, that were not required by applicable federal motor vehicle safety standards at the time the vehicle was manufactured or sold. Evidence related to such an alleged duty is not admissible in any phase of trial.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