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4218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9,</w:t>
      </w:r>
      <w:r xml:space="preserve">
        <w:t> </w:t>
      </w:r>
      <w:r>
        <w:t xml:space="preserve">2023, read first time and referred to Committee on State Affairs; May</w:t>
      </w:r>
      <w:r xml:space="preserve">
        <w:t> </w:t>
      </w:r>
      <w:r>
        <w:t xml:space="preserve">15,</w:t>
      </w:r>
      <w:r xml:space="preserve">
        <w:t> </w:t>
      </w:r>
      <w:r>
        <w:t xml:space="preserve">2023, reported favorably by the following vote:</w:t>
      </w:r>
      <w:r>
        <w:t xml:space="preserve"> </w:t>
      </w:r>
      <w:r>
        <w:t xml:space="preserve"> </w:t>
      </w:r>
      <w:r>
        <w:t xml:space="preserve">Yeas 8,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liability related to a duty to retrofit certain rented or leased motor vehicles with safety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82, Civil Practice and Remedies Code, is amended by adding Section 82.009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82.009.</w:t>
      </w:r>
      <w:r>
        <w:rPr>
          <w:u w:val="single"/>
        </w:rPr>
        <w:t xml:space="preserve"> </w:t>
      </w:r>
      <w:r>
        <w:rPr>
          <w:u w:val="single"/>
        </w:rPr>
        <w:t xml:space="preserve"> </w:t>
      </w:r>
      <w:r>
        <w:rPr>
          <w:u w:val="single"/>
        </w:rPr>
        <w:t xml:space="preserve">LIMITED LIABILITY FOR FAILURE TO RETROFIT CERTAIN RENTED OR LEASED VEHICLES.  (a)  In this section, "retrofit" means to install new equipment or component parts that were not included in a motor vehicle when the vehicle was manufactured or sold.  The term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routine maintenance;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repairs to the vehicle: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wear and tear;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required by damage resulting from an accident or other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motor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has a gross vehicle weight rating or gross vehicle weight of at least 6,000 pounds;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governed by 49 U.S.C. Section 30106;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not a motor vehicle that was manufactured primarily for use in the transportation of not more than 10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in any civil action, including a products liability action, alleging negligence, gross negligence, or strict liability, a seller who rents or leases a motor vehicle to which this section applies to another person is not liable for failing to retrofit the vehicle with component parts or equipment, or for failing to select component parts or equipment included in the vehicle, that were not required by applicable federal motor vehicle safety standards under 49 C.F.R. Section 571.1 et seq. in effect at the time the vehicle was manufactured or sold.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if the seller fails to comply with a law or regulation, issued after the seller's motor vehicle was manufactured or sold, requiring a mandatory recall or retrofit of the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