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maximum rate or amount of interest of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 Finance Code, is amended by amending Subsection (e) and adding Subsections (e-2) and (e-3) to read as follows:</w:t>
      </w:r>
    </w:p>
    <w:p w:rsidR="003F3435" w:rsidRDefault="0032493E">
      <w:pPr>
        <w:spacing w:line="480" w:lineRule="auto"/>
        <w:ind w:firstLine="720"/>
        <w:jc w:val="both"/>
      </w:pPr>
      <w:r>
        <w:t xml:space="preserve">(e)</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w:t>
      </w:r>
    </w:p>
    <w:p w:rsidR="003F3435" w:rsidRDefault="0032493E">
      <w:pPr>
        <w:spacing w:line="480" w:lineRule="auto"/>
        <w:ind w:firstLine="1440"/>
        <w:jc w:val="both"/>
      </w:pPr>
      <w:r>
        <w:t xml:space="preserve">(1)</w:t>
      </w:r>
      <w:r xml:space="preserve">
        <w:t> </w:t>
      </w:r>
      <w:r xml:space="preserve">
        <w:t> </w:t>
      </w:r>
      <w:r>
        <w:t xml:space="preserve">30 percent </w:t>
      </w:r>
      <w:r>
        <w:rPr>
          <w:u w:val="single"/>
        </w:rPr>
        <w:t xml:space="preserve">plus the federal funds rate</w:t>
      </w:r>
      <w:r>
        <w:t xml:space="preserve"> a year on that part of the cash advance that is less than or equal to the amount computed under Subchapter C, Chapter 341, using the reference base amount of $500;</w:t>
      </w:r>
    </w:p>
    <w:p w:rsidR="003F3435" w:rsidRDefault="0032493E">
      <w:pPr>
        <w:spacing w:line="480" w:lineRule="auto"/>
        <w:ind w:firstLine="1440"/>
        <w:jc w:val="both"/>
      </w:pPr>
      <w:r>
        <w:t xml:space="preserve">(2)</w:t>
      </w:r>
      <w:r xml:space="preserve">
        <w:t> </w:t>
      </w:r>
      <w:r xml:space="preserve">
        <w:t> </w:t>
      </w:r>
      <w:r>
        <w:t xml:space="preserve">24 percent </w:t>
      </w:r>
      <w:r>
        <w:rPr>
          <w:u w:val="single"/>
        </w:rPr>
        <w:t xml:space="preserve">plus the federal funds rate</w:t>
      </w:r>
      <w:r>
        <w:t xml:space="preserve"> a year on that part of the cash advance that is more than the amount computed for Subdivision (1) but less than or equal to an amount computed under Subchapter C, Chapter 341, using the reference base amount of $1,050; and</w:t>
      </w:r>
    </w:p>
    <w:p w:rsidR="003F3435" w:rsidRDefault="0032493E">
      <w:pPr>
        <w:spacing w:line="480" w:lineRule="auto"/>
        <w:ind w:firstLine="1440"/>
        <w:jc w:val="both"/>
      </w:pPr>
      <w:r>
        <w:t xml:space="preserve">(3)</w:t>
      </w:r>
      <w:r xml:space="preserve">
        <w:t> </w:t>
      </w:r>
      <w:r xml:space="preserve">
        <w:t> </w:t>
      </w:r>
      <w:r>
        <w:t xml:space="preserve">18 percent </w:t>
      </w:r>
      <w:r>
        <w:rPr>
          <w:u w:val="single"/>
        </w:rPr>
        <w:t xml:space="preserve">plus the federal funds rate</w:t>
      </w:r>
      <w:r>
        <w:t xml:space="preserve"> a year on that part of the cash advance that is more than the amount computed for Subdivision (2) but less than or equal to an amount computed under Subchapter C, Chapter 341, using the reference base amount of $2,500.</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On March 1 and September 1 of each year, the commissioner shall compute the ceilings applicable under Subsection (e) for the six-month period effective the following May 1 and November 1, respectively.  As prescribed by this subsection, the ceilings are effective for the six-month period beginning on the effective date and are subject to adjustment after each six-month period.  The commissioner shall submit to the secretary of state for publication in the Texas Register the ceilings computed under this subsection not later than the 11th day after the date on which the ceiling is computed.</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"Ceiling" means the maximum rate or amount of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funds rate" means an interest rate computed by averaging the Federal Funds rates published by the Federal Reserve Bank of New York for each day during the six calendar months preceding the computation date of the ceilings, except that if that average: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greater than five percent, the federal funds rate is five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less than zero percent, the federal funds rate is zero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loan made on or after the effective date of this Act.  A loan made before the effective date of this Act is governed by the law in effect on the date the loan was made, and the former law is continued in effect for that purpose.  For purposes of this section, a refinance or renewal of a loan is considered made on the date the loan being refinanced or renewed was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4219 was passed by the House on May 9, 2023, by the following vote:</w:t>
      </w:r>
      <w:r xml:space="preserve">
        <w:t> </w:t>
      </w:r>
      <w:r xml:space="preserve">
        <w:t> </w:t>
      </w:r>
      <w:r>
        <w:t xml:space="preserve">Yeas 130,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4219 was passed by the Senate on May 22, 2023,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