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4227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15,</w:t>
      </w:r>
      <w:r xml:space="preserve">
        <w:t> </w:t>
      </w:r>
      <w:r>
        <w:t xml:space="preserve">2023; May</w:t>
      </w:r>
      <w:r xml:space="preserve">
        <w:t> </w:t>
      </w:r>
      <w:r>
        <w:t xml:space="preserve">16,</w:t>
      </w:r>
      <w:r xml:space="preserve">
        <w:t> </w:t>
      </w:r>
      <w:r>
        <w:t xml:space="preserve">2023, read first time and referred to Committee on Local Government; May</w:t>
      </w:r>
      <w:r xml:space="preserve">
        <w:t> </w:t>
      </w:r>
      <w:r>
        <w:t xml:space="preserve">19,</w:t>
      </w:r>
      <w:r xml:space="preserve">
        <w:t> </w:t>
      </w:r>
      <w:r>
        <w:t xml:space="preserve">2023, reported favorably by the following vote:</w:t>
      </w:r>
      <w:r>
        <w:t xml:space="preserve"> </w:t>
      </w:r>
      <w:r>
        <w:t xml:space="preserve"> </w:t>
      </w:r>
      <w:r>
        <w:t xml:space="preserve">Yeas 7, Nays 0; May</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repeal of a municipal civil service system for firefighters and police officers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143.004(e),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If the governing body of a municipality </w:t>
      </w:r>
      <w:r>
        <w:rPr>
          <w:u w:val="single"/>
        </w:rPr>
        <w:t xml:space="preserve">with a population of less than 900,000</w:t>
      </w:r>
      <w:r>
        <w:t xml:space="preserve"> that has operated under this chapter for at least one year receives a petition requesting an election to repeal this chapter that is signed by at least 10 percent of the qualified voters of the municipality, the governing body shall order an election submitting to the voters the question on whether this chapter should be repealed. If a majority of the qualified voters vote to repeal this chapter, this chapter is void in that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